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6BF" w:rsidRDefault="00AD5FE4">
      <w:pPr>
        <w:tabs>
          <w:tab w:val="center" w:pos="4536"/>
          <w:tab w:val="right" w:pos="9072"/>
        </w:tabs>
        <w:spacing w:before="120"/>
        <w:rPr>
          <w:rFonts w:ascii="Arial" w:hAnsi="Arial" w:cs="Arial"/>
          <w:b/>
          <w:bCs/>
          <w:sz w:val="22"/>
          <w:lang w:eastAsia="ja-JP"/>
        </w:rPr>
      </w:pPr>
      <w:bookmarkStart w:id="0" w:name="_Ref494746248"/>
      <w:r>
        <w:rPr>
          <w:rFonts w:ascii="Arial" w:hAnsi="Arial" w:cs="Arial"/>
          <w:b/>
          <w:bCs/>
          <w:sz w:val="22"/>
          <w:lang w:eastAsia="ja-JP"/>
        </w:rPr>
        <w:t>3GPP TSG RAN WG1 #1</w:t>
      </w:r>
      <w:r>
        <w:rPr>
          <w:rFonts w:ascii="Arial" w:hAnsi="Arial" w:cs="Arial" w:hint="eastAsia"/>
          <w:b/>
          <w:bCs/>
          <w:sz w:val="22"/>
          <w:lang w:eastAsia="ja-JP"/>
        </w:rPr>
        <w:t xml:space="preserve">10bis-e                                      </w:t>
      </w:r>
      <w:r w:rsidR="00397AF2">
        <w:rPr>
          <w:rFonts w:ascii="Arial" w:hAnsi="Arial" w:cs="Arial"/>
          <w:b/>
          <w:bCs/>
          <w:sz w:val="22"/>
          <w:lang w:eastAsia="ja-JP"/>
        </w:rPr>
        <w:t xml:space="preserve">   </w:t>
      </w:r>
      <w:bookmarkStart w:id="1" w:name="_GoBack"/>
      <w:bookmarkEnd w:id="1"/>
      <w:r>
        <w:rPr>
          <w:rFonts w:ascii="Arial" w:hAnsi="Arial" w:cs="Arial" w:hint="eastAsia"/>
          <w:b/>
          <w:bCs/>
          <w:sz w:val="22"/>
          <w:lang w:eastAsia="ja-JP"/>
        </w:rPr>
        <w:t>R1-2208530</w:t>
      </w:r>
    </w:p>
    <w:p w:rsidR="00A156BF" w:rsidRDefault="00AD5FE4">
      <w:pPr>
        <w:tabs>
          <w:tab w:val="center" w:pos="4536"/>
          <w:tab w:val="right" w:pos="9072"/>
        </w:tabs>
        <w:spacing w:before="120"/>
      </w:pPr>
      <w:r>
        <w:rPr>
          <w:rFonts w:ascii="Arial" w:hAnsi="Arial" w:cs="Arial"/>
          <w:b/>
          <w:bCs/>
          <w:sz w:val="22"/>
          <w:lang w:eastAsia="ja-JP"/>
        </w:rPr>
        <w:t>e-Meeting, October 10</w:t>
      </w:r>
      <w:r>
        <w:rPr>
          <w:rFonts w:ascii="Arial" w:hAnsi="Arial" w:cs="Arial" w:hint="eastAsia"/>
          <w:b/>
          <w:bCs/>
          <w:sz w:val="22"/>
          <w:vertAlign w:val="superscript"/>
          <w:lang w:eastAsia="ko-KR"/>
        </w:rPr>
        <w:t>th</w:t>
      </w:r>
      <w:r>
        <w:rPr>
          <w:rFonts w:ascii="Arial" w:hAnsi="Arial" w:cs="Arial"/>
          <w:b/>
          <w:bCs/>
          <w:sz w:val="22"/>
          <w:lang w:eastAsia="ja-JP"/>
        </w:rPr>
        <w:t xml:space="preserve"> – 19</w:t>
      </w:r>
      <w:r>
        <w:rPr>
          <w:rFonts w:ascii="Arial" w:hAnsi="Arial" w:cs="Arial"/>
          <w:b/>
          <w:bCs/>
          <w:sz w:val="22"/>
          <w:vertAlign w:val="superscript"/>
          <w:lang w:eastAsia="ja-JP"/>
        </w:rPr>
        <w:t>th</w:t>
      </w:r>
      <w:r>
        <w:rPr>
          <w:rFonts w:ascii="Arial" w:hAnsi="Arial" w:cs="Arial"/>
          <w:b/>
          <w:bCs/>
          <w:sz w:val="22"/>
          <w:lang w:eastAsia="ja-JP"/>
        </w:rPr>
        <w:t>, 2022</w:t>
      </w:r>
    </w:p>
    <w:p w:rsidR="00A156BF" w:rsidRDefault="00AD5FE4">
      <w:pPr>
        <w:tabs>
          <w:tab w:val="left" w:pos="1985"/>
        </w:tabs>
        <w:spacing w:before="120"/>
        <w:rPr>
          <w:rFonts w:ascii="Arial" w:hAnsi="Arial"/>
          <w:b/>
        </w:rPr>
      </w:pPr>
      <w:r>
        <w:rPr>
          <w:rFonts w:ascii="Arial" w:hAnsi="Arial"/>
          <w:b/>
        </w:rPr>
        <w:t xml:space="preserve">Source: </w:t>
      </w:r>
      <w:r>
        <w:rPr>
          <w:rFonts w:ascii="Arial" w:hAnsi="Arial"/>
          <w:b/>
        </w:rPr>
        <w:tab/>
        <w:t>ZTE</w:t>
      </w:r>
    </w:p>
    <w:p w:rsidR="00A156BF" w:rsidRDefault="00AD5FE4">
      <w:pPr>
        <w:spacing w:before="120"/>
        <w:ind w:left="1988" w:hanging="1988"/>
        <w:rPr>
          <w:rFonts w:ascii="Arial" w:hAnsi="Arial"/>
          <w:b/>
        </w:rPr>
      </w:pPr>
      <w:r>
        <w:rPr>
          <w:rFonts w:ascii="Arial" w:hAnsi="Arial"/>
          <w:b/>
        </w:rPr>
        <w:t xml:space="preserve">Title: </w:t>
      </w:r>
      <w:r>
        <w:rPr>
          <w:rFonts w:ascii="Arial" w:hAnsi="Arial"/>
          <w:b/>
        </w:rPr>
        <w:tab/>
      </w:r>
      <w:r>
        <w:rPr>
          <w:rFonts w:ascii="Arial" w:hAnsi="Arial" w:hint="eastAsia"/>
          <w:b/>
        </w:rPr>
        <w:t>Discussion on UE features for topics 1</w:t>
      </w:r>
    </w:p>
    <w:p w:rsidR="00A156BF" w:rsidRDefault="00AD5FE4">
      <w:pPr>
        <w:tabs>
          <w:tab w:val="left" w:pos="1985"/>
        </w:tabs>
        <w:spacing w:before="120"/>
        <w:rPr>
          <w:rFonts w:ascii="Arial" w:hAnsi="Arial"/>
          <w:b/>
        </w:rPr>
      </w:pPr>
      <w:r>
        <w:rPr>
          <w:rFonts w:ascii="Arial" w:hAnsi="Arial"/>
          <w:b/>
        </w:rPr>
        <w:t>Agenda item:</w:t>
      </w:r>
      <w:r>
        <w:rPr>
          <w:rFonts w:ascii="Arial" w:hAnsi="Arial"/>
          <w:b/>
        </w:rPr>
        <w:tab/>
        <w:t>8.1</w:t>
      </w:r>
      <w:r>
        <w:rPr>
          <w:rFonts w:ascii="Arial" w:hAnsi="Arial" w:hint="eastAsia"/>
          <w:b/>
        </w:rPr>
        <w:t>6</w:t>
      </w:r>
      <w:r>
        <w:rPr>
          <w:rFonts w:ascii="Arial" w:hAnsi="Arial"/>
          <w:b/>
        </w:rPr>
        <w:t>.</w:t>
      </w:r>
      <w:r>
        <w:rPr>
          <w:rFonts w:ascii="Arial" w:hAnsi="Arial" w:hint="eastAsia"/>
          <w:b/>
        </w:rPr>
        <w:t>1</w:t>
      </w:r>
    </w:p>
    <w:p w:rsidR="00A156BF" w:rsidRDefault="00AD5FE4">
      <w:pPr>
        <w:spacing w:before="12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A156BF" w:rsidRDefault="00AD5FE4">
      <w:pPr>
        <w:pStyle w:val="1"/>
        <w:textAlignment w:val="auto"/>
      </w:pPr>
      <w:bookmarkStart w:id="3" w:name="_Ref4817"/>
      <w:r>
        <w:t>Introduction</w:t>
      </w:r>
      <w:bookmarkEnd w:id="0"/>
      <w:bookmarkEnd w:id="3"/>
    </w:p>
    <w:p w:rsidR="00A156BF" w:rsidRPr="00D2256E" w:rsidRDefault="00AD5FE4" w:rsidP="00D2256E">
      <w:pPr>
        <w:spacing w:before="120" w:line="288" w:lineRule="auto"/>
        <w:rPr>
          <w:rFonts w:cs="Times New Roman"/>
        </w:rPr>
      </w:pPr>
      <w:r w:rsidRPr="00D2256E">
        <w:rPr>
          <w:rFonts w:cs="Times New Roman"/>
        </w:rPr>
        <w:t xml:space="preserve">In RAN1#110, the </w:t>
      </w:r>
      <w:r w:rsidRPr="00D2256E">
        <w:rPr>
          <w:rFonts w:cs="Times New Roman"/>
          <w:lang w:eastAsia="en-US"/>
        </w:rPr>
        <w:t>RAN1 UE features list for Rel-17 NR</w:t>
      </w:r>
      <w:r w:rsidRPr="00D2256E">
        <w:rPr>
          <w:rFonts w:cs="Times New Roman"/>
        </w:rPr>
        <w:t xml:space="preserve"> was updated in [1]. In this contribution, our views are provided for UE features for </w:t>
      </w:r>
      <w:proofErr w:type="spellStart"/>
      <w:r w:rsidRPr="00D2256E">
        <w:rPr>
          <w:rFonts w:cs="Times New Roman"/>
        </w:rPr>
        <w:t>eIIoT</w:t>
      </w:r>
      <w:proofErr w:type="spellEnd"/>
      <w:r w:rsidRPr="00D2256E">
        <w:rPr>
          <w:rFonts w:cs="Times New Roman"/>
        </w:rPr>
        <w:t xml:space="preserve"> &amp; URLLC, </w:t>
      </w:r>
      <w:proofErr w:type="spellStart"/>
      <w:r w:rsidRPr="00D2256E">
        <w:rPr>
          <w:rFonts w:cs="Times New Roman"/>
        </w:rPr>
        <w:t>RedCap</w:t>
      </w:r>
      <w:proofErr w:type="spellEnd"/>
      <w:r w:rsidRPr="00D2256E">
        <w:rPr>
          <w:rFonts w:cs="Times New Roman"/>
        </w:rPr>
        <w:t>, coverage enhancement and MBS.</w:t>
      </w:r>
    </w:p>
    <w:p w:rsidR="00A156BF" w:rsidRDefault="00AD5FE4">
      <w:pPr>
        <w:pStyle w:val="1"/>
        <w:rPr>
          <w:lang w:eastAsia="zh-CN"/>
        </w:rPr>
      </w:pPr>
      <w:r>
        <w:rPr>
          <w:lang w:eastAsia="zh-CN"/>
        </w:rPr>
        <w:t>Discussion</w:t>
      </w:r>
      <w:r>
        <w:rPr>
          <w:rFonts w:hint="eastAsia"/>
          <w:lang w:val="en-US" w:eastAsia="zh-CN"/>
        </w:rPr>
        <w:t xml:space="preserve"> </w:t>
      </w:r>
    </w:p>
    <w:p w:rsidR="00A156BF" w:rsidRDefault="00AD5FE4">
      <w:pPr>
        <w:pStyle w:val="2"/>
        <w:rPr>
          <w:lang w:val="en-US" w:eastAsia="zh-CN"/>
        </w:rPr>
      </w:pPr>
      <w:r>
        <w:rPr>
          <w:rFonts w:hint="eastAsia"/>
          <w:lang w:val="en-US" w:eastAsia="zh-CN"/>
        </w:rPr>
        <w:t xml:space="preserve">UE features for </w:t>
      </w:r>
      <w:proofErr w:type="spellStart"/>
      <w:r>
        <w:t>eIIoT</w:t>
      </w:r>
      <w:proofErr w:type="spellEnd"/>
      <w:r>
        <w:t xml:space="preserve"> &amp; URLLC</w:t>
      </w:r>
    </w:p>
    <w:p w:rsidR="00A156BF" w:rsidRPr="00D2256E" w:rsidRDefault="00AD5FE4" w:rsidP="00D2256E">
      <w:pPr>
        <w:spacing w:before="120" w:line="288" w:lineRule="auto"/>
        <w:rPr>
          <w:rFonts w:cs="Times New Roman"/>
        </w:rPr>
      </w:pPr>
      <w:r w:rsidRPr="00D2256E">
        <w:rPr>
          <w:rFonts w:cs="Times New Roman"/>
        </w:rPr>
        <w:t xml:space="preserve">The analysis of UE features for enhanced </w:t>
      </w:r>
      <w:proofErr w:type="spellStart"/>
      <w:r w:rsidRPr="00D2256E">
        <w:rPr>
          <w:rFonts w:cs="Times New Roman"/>
        </w:rPr>
        <w:t>IIoT</w:t>
      </w:r>
      <w:proofErr w:type="spellEnd"/>
      <w:r w:rsidRPr="00D2256E">
        <w:rPr>
          <w:rFonts w:cs="Times New Roman"/>
        </w:rPr>
        <w:t xml:space="preserve"> and URLLC is based on [2].</w:t>
      </w:r>
    </w:p>
    <w:p w:rsidR="00A156BF" w:rsidRDefault="00AD5FE4">
      <w:pPr>
        <w:spacing w:before="120"/>
        <w:rPr>
          <w:b/>
          <w:bCs/>
          <w:u w:val="single"/>
        </w:rPr>
      </w:pPr>
      <w:bookmarkStart w:id="4" w:name="_Toc63425227"/>
      <w:r>
        <w:rPr>
          <w:b/>
          <w:bCs/>
          <w:u w:val="single"/>
        </w:rPr>
        <w:t>Intra-UE Multiplexing/Prioritization</w:t>
      </w:r>
      <w:bookmarkEnd w:id="4"/>
    </w:p>
    <w:p w:rsidR="00A156BF" w:rsidRPr="00D2256E" w:rsidRDefault="00AD5FE4" w:rsidP="00D2256E">
      <w:pPr>
        <w:spacing w:before="120" w:line="288" w:lineRule="auto"/>
        <w:rPr>
          <w:rFonts w:cs="Times New Roman"/>
        </w:rPr>
      </w:pPr>
      <w:r w:rsidRPr="00D2256E">
        <w:rPr>
          <w:rFonts w:cs="Times New Roman"/>
        </w:rPr>
        <w:t>FG 11-4 is for a UE supporting two HARQ-ACK codebooks / PUCCH config, so it is needed as a prerequisite for FG 25-16.</w:t>
      </w:r>
    </w:p>
    <w:p w:rsidR="00A156BF" w:rsidRPr="00D2256E" w:rsidRDefault="00AD5FE4" w:rsidP="00D2256E">
      <w:pPr>
        <w:spacing w:before="120" w:afterLines="50" w:after="120"/>
        <w:rPr>
          <w:rFonts w:cs="Times New Roman"/>
          <w:i/>
          <w:lang w:val="en-GB"/>
        </w:rPr>
      </w:pPr>
      <w:r w:rsidRPr="00D2256E">
        <w:rPr>
          <w:rFonts w:cs="Times New Roman"/>
          <w:b/>
          <w:i/>
          <w:lang w:val="en-GB"/>
        </w:rPr>
        <w:t>Proposal 1:</w:t>
      </w:r>
      <w:r w:rsidRPr="00D2256E">
        <w:rPr>
          <w:rFonts w:cs="Times New Roman"/>
          <w:i/>
          <w:lang w:val="en-GB"/>
        </w:rPr>
        <w:t xml:space="preserve"> </w:t>
      </w:r>
      <w:r w:rsidRPr="00D2256E">
        <w:rPr>
          <w:rFonts w:eastAsia="MS Mincho" w:cs="Times New Roman"/>
          <w:i/>
        </w:rPr>
        <w:t>FG 11-4 is added as a prerequisite for FG 25-16</w:t>
      </w:r>
      <w:r w:rsidRPr="00D2256E">
        <w:rPr>
          <w:rFonts w:cs="Times New Roman"/>
          <w:i/>
          <w:lang w:val="en-GB"/>
        </w:rPr>
        <w:t>.</w:t>
      </w:r>
    </w:p>
    <w:p w:rsidR="00D2256E" w:rsidRDefault="00D2256E" w:rsidP="00D2256E">
      <w:pPr>
        <w:spacing w:before="120" w:afterLines="50" w:after="120"/>
      </w:pPr>
    </w:p>
    <w:p w:rsidR="00A156BF" w:rsidRDefault="00AD5FE4">
      <w:pPr>
        <w:spacing w:before="120"/>
        <w:rPr>
          <w:b/>
          <w:bCs/>
          <w:u w:val="single"/>
        </w:rPr>
      </w:pPr>
      <w:r>
        <w:rPr>
          <w:b/>
          <w:bCs/>
          <w:u w:val="single"/>
        </w:rPr>
        <w:t>Propagation delay compensation enhancements</w:t>
      </w:r>
    </w:p>
    <w:p w:rsidR="00A156BF" w:rsidRPr="00D2256E" w:rsidRDefault="00AD5FE4" w:rsidP="00D2256E">
      <w:pPr>
        <w:spacing w:before="120" w:line="288" w:lineRule="auto"/>
        <w:rPr>
          <w:rFonts w:cs="Times New Roman"/>
        </w:rPr>
      </w:pPr>
      <w:r w:rsidRPr="00D2256E">
        <w:rPr>
          <w:rFonts w:cs="Times New Roman"/>
        </w:rPr>
        <w:t xml:space="preserve">In RAN1#110, there was discussion on whether to introduce a component of maximum DL PRS bandwidth for PDC for FG 25-19a. The proponents believed there may be incorrect performance prediction when PDC and positioning share the same PRS. The reason is that the PRS is configured by the LMF and the </w:t>
      </w:r>
      <w:proofErr w:type="spellStart"/>
      <w:r w:rsidRPr="00D2256E">
        <w:rPr>
          <w:rFonts w:cs="Times New Roman"/>
        </w:rPr>
        <w:t>gNB</w:t>
      </w:r>
      <w:proofErr w:type="spellEnd"/>
      <w:r w:rsidRPr="00D2256E">
        <w:rPr>
          <w:rFonts w:cs="Times New Roman"/>
        </w:rPr>
        <w:t xml:space="preserve"> does not know the exact bandwidth for PRS received by the UE. In positioning, PRS configuration is delivered by LMF. Actually, the PRS configuration is still configured by the </w:t>
      </w:r>
      <w:proofErr w:type="spellStart"/>
      <w:r w:rsidRPr="00D2256E">
        <w:rPr>
          <w:rFonts w:cs="Times New Roman"/>
        </w:rPr>
        <w:t>gNB</w:t>
      </w:r>
      <w:proofErr w:type="spellEnd"/>
      <w:r w:rsidRPr="00D2256E">
        <w:rPr>
          <w:rFonts w:cs="Times New Roman"/>
        </w:rPr>
        <w:t xml:space="preserve">. The LMF just gathers all the PRS configuration from multiple </w:t>
      </w:r>
      <w:proofErr w:type="spellStart"/>
      <w:r w:rsidRPr="00D2256E">
        <w:rPr>
          <w:rFonts w:cs="Times New Roman"/>
        </w:rPr>
        <w:t>gNBs</w:t>
      </w:r>
      <w:proofErr w:type="spellEnd"/>
      <w:r w:rsidRPr="00D2256E">
        <w:rPr>
          <w:rFonts w:cs="Times New Roman"/>
        </w:rPr>
        <w:t xml:space="preserve"> and transmits the configurations to the UE. It means that the </w:t>
      </w:r>
      <w:proofErr w:type="spellStart"/>
      <w:r w:rsidRPr="00D2256E">
        <w:rPr>
          <w:rFonts w:cs="Times New Roman"/>
        </w:rPr>
        <w:t>gNB</w:t>
      </w:r>
      <w:proofErr w:type="spellEnd"/>
      <w:r w:rsidRPr="00D2256E">
        <w:rPr>
          <w:rFonts w:cs="Times New Roman"/>
        </w:rPr>
        <w:t xml:space="preserve"> can be aware of the receiving bandwidth at UE side. In addition, it was agreed that only the serving cell transmits the PRS and the UE is not expected to measure DL PRS outside the active BWP. In this case, the network just follow the maximum bandwidth reported for the serving cell. Therefore, the report of maximum DL PRS bandwidth is not needed for PDC. </w:t>
      </w:r>
    </w:p>
    <w:p w:rsidR="00A156BF" w:rsidRDefault="00AD5FE4" w:rsidP="00D2256E">
      <w:pPr>
        <w:spacing w:before="120" w:afterLines="50" w:after="120"/>
        <w:rPr>
          <w:rFonts w:cs="Times"/>
          <w:i/>
          <w:iCs/>
        </w:rPr>
      </w:pPr>
      <w:r w:rsidRPr="00D2256E">
        <w:rPr>
          <w:rFonts w:cs="Times New Roman"/>
          <w:b/>
          <w:bCs/>
          <w:i/>
          <w:iCs/>
        </w:rPr>
        <w:t>Proposal 2:</w:t>
      </w:r>
      <w:r w:rsidRPr="00D2256E">
        <w:rPr>
          <w:rFonts w:cs="Times New Roman"/>
          <w:i/>
          <w:iCs/>
        </w:rPr>
        <w:t xml:space="preserve"> Maximum DL PRS bandwidth in MHz should not be supported and reported by UE</w:t>
      </w:r>
      <w:r>
        <w:rPr>
          <w:rFonts w:cs="Times"/>
          <w:i/>
          <w:iCs/>
        </w:rPr>
        <w:t>.</w:t>
      </w:r>
    </w:p>
    <w:p w:rsidR="00D2256E" w:rsidRDefault="00D2256E" w:rsidP="00D2256E">
      <w:pPr>
        <w:spacing w:before="120" w:afterLines="50" w:after="120"/>
        <w:rPr>
          <w:rFonts w:cs="Times"/>
          <w:i/>
          <w:iCs/>
        </w:rPr>
      </w:pPr>
    </w:p>
    <w:p w:rsidR="00A156BF" w:rsidRPr="00D2256E" w:rsidRDefault="00AD5FE4" w:rsidP="00D2256E">
      <w:pPr>
        <w:spacing w:before="120" w:line="288" w:lineRule="auto"/>
        <w:rPr>
          <w:rFonts w:cs="Times New Roman"/>
        </w:rPr>
      </w:pPr>
      <w:r w:rsidRPr="00D2256E">
        <w:rPr>
          <w:rFonts w:cs="Times New Roman"/>
        </w:rPr>
        <w:t xml:space="preserve">It was agreed that PRS can be the spatial relation RS for SRS for PDC. Supporting PDC-PRS for UE-side RTT measurement does not mean the UE </w:t>
      </w:r>
      <w:r w:rsidRPr="00D2256E">
        <w:rPr>
          <w:rFonts w:cs="Times New Roman" w:hint="eastAsia"/>
        </w:rPr>
        <w:t>should</w:t>
      </w:r>
      <w:r w:rsidRPr="00D2256E">
        <w:rPr>
          <w:rFonts w:cs="Times New Roman"/>
        </w:rPr>
        <w:t xml:space="preserve"> support PDC-PRS as spatial relation RS for PDC-SRS. So using PDC-PRS as spatial relation source of SRS should be identified as a UE capability. It can be added as a component for FG 25-19a </w:t>
      </w:r>
    </w:p>
    <w:p w:rsidR="00A156BF" w:rsidRPr="00D2256E" w:rsidRDefault="00AD5FE4" w:rsidP="00D2256E">
      <w:pPr>
        <w:spacing w:before="120" w:afterLines="50" w:after="120"/>
        <w:rPr>
          <w:rFonts w:cs="Times New Roman"/>
          <w:i/>
          <w:iCs/>
        </w:rPr>
      </w:pPr>
      <w:r w:rsidRPr="00D2256E">
        <w:rPr>
          <w:rFonts w:cs="Times New Roman"/>
          <w:b/>
          <w:bCs/>
          <w:i/>
          <w:iCs/>
        </w:rPr>
        <w:t>Proposal 3:</w:t>
      </w:r>
      <w:r w:rsidRPr="00D2256E">
        <w:rPr>
          <w:rFonts w:cs="Times New Roman"/>
          <w:i/>
          <w:iCs/>
        </w:rPr>
        <w:t xml:space="preserve"> Spatial relation for SRS for PDC based on PRS for PDC from the serving cell can be considered as a component of FG 25-19a. </w:t>
      </w:r>
    </w:p>
    <w:p w:rsidR="00A156BF" w:rsidRDefault="00AD5FE4">
      <w:pPr>
        <w:pStyle w:val="2"/>
        <w:rPr>
          <w:lang w:val="en-US" w:eastAsia="zh-CN"/>
        </w:rPr>
      </w:pPr>
      <w:r>
        <w:rPr>
          <w:rFonts w:hint="eastAsia"/>
          <w:lang w:val="en-US" w:eastAsia="zh-CN"/>
        </w:rPr>
        <w:t xml:space="preserve">UE features for </w:t>
      </w:r>
      <w:proofErr w:type="spellStart"/>
      <w:r>
        <w:rPr>
          <w:rFonts w:hint="eastAsia"/>
          <w:lang w:val="en-US" w:eastAsia="zh-CN"/>
        </w:rPr>
        <w:t>RedCap</w:t>
      </w:r>
      <w:proofErr w:type="spellEnd"/>
    </w:p>
    <w:p w:rsidR="00A156BF" w:rsidRPr="00D2256E" w:rsidRDefault="00AD5FE4">
      <w:pPr>
        <w:spacing w:before="120" w:after="180"/>
        <w:rPr>
          <w:rFonts w:cs="Times New Roman"/>
          <w:szCs w:val="20"/>
        </w:rPr>
      </w:pPr>
      <w:r w:rsidRPr="00D2256E">
        <w:rPr>
          <w:rFonts w:eastAsia="宋体" w:cs="Times New Roman"/>
          <w:szCs w:val="20"/>
        </w:rPr>
        <w:t>According to the WID [</w:t>
      </w:r>
      <w:r w:rsidRPr="00D2256E">
        <w:rPr>
          <w:rFonts w:cs="Times New Roman"/>
          <w:szCs w:val="20"/>
        </w:rPr>
        <w:t>3</w:t>
      </w:r>
      <w:r w:rsidRPr="00D2256E">
        <w:rPr>
          <w:rFonts w:eastAsia="宋体" w:cs="Times New Roman"/>
          <w:szCs w:val="20"/>
        </w:rPr>
        <w:t xml:space="preserve">] and agreement, UE capabilities related to CA, DC and wider max UE bandwidth are not applicable to </w:t>
      </w:r>
      <w:proofErr w:type="spellStart"/>
      <w:r w:rsidRPr="00D2256E">
        <w:rPr>
          <w:rFonts w:eastAsia="宋体" w:cs="Times New Roman"/>
          <w:szCs w:val="20"/>
        </w:rPr>
        <w:t>RedCap</w:t>
      </w:r>
      <w:proofErr w:type="spellEnd"/>
      <w:r w:rsidRPr="00D2256E">
        <w:rPr>
          <w:rFonts w:eastAsia="宋体" w:cs="Times New Roman"/>
          <w:szCs w:val="20"/>
        </w:rPr>
        <w:t xml:space="preserve"> UEs. However, it seems that whether to support the UE capabilities exceeding 1Tx/2Rx capability</w:t>
      </w:r>
      <w:r w:rsidRPr="00D2256E">
        <w:rPr>
          <w:rFonts w:cs="Times New Roman"/>
          <w:szCs w:val="20"/>
        </w:rPr>
        <w:t xml:space="preserve"> was </w:t>
      </w:r>
      <w:r w:rsidRPr="00D2256E">
        <w:rPr>
          <w:rFonts w:eastAsia="宋体" w:cs="Times New Roman"/>
          <w:szCs w:val="20"/>
        </w:rPr>
        <w:t xml:space="preserve">controversial in the discussion of UE feature agenda. </w:t>
      </w:r>
    </w:p>
    <w:p w:rsidR="00A156BF" w:rsidRPr="00D2256E" w:rsidRDefault="00AD5FE4">
      <w:pPr>
        <w:spacing w:before="120" w:after="180"/>
        <w:rPr>
          <w:rFonts w:cs="Times New Roman"/>
          <w:szCs w:val="20"/>
        </w:rPr>
      </w:pPr>
      <w:r w:rsidRPr="00D2256E">
        <w:rPr>
          <w:rFonts w:eastAsia="宋体" w:cs="Times New Roman"/>
          <w:szCs w:val="20"/>
        </w:rPr>
        <w:t xml:space="preserve">Given the Rel-17 </w:t>
      </w:r>
      <w:proofErr w:type="spellStart"/>
      <w:r w:rsidRPr="00D2256E">
        <w:rPr>
          <w:rFonts w:eastAsia="宋体" w:cs="Times New Roman"/>
          <w:szCs w:val="20"/>
        </w:rPr>
        <w:t>RedCap</w:t>
      </w:r>
      <w:proofErr w:type="spellEnd"/>
      <w:r w:rsidRPr="00D2256E">
        <w:rPr>
          <w:rFonts w:eastAsia="宋体" w:cs="Times New Roman"/>
          <w:szCs w:val="20"/>
        </w:rPr>
        <w:t xml:space="preserve"> WID description, the maximum UL peak data rate for wearables is 50Mbps. Obviously, support of more than 1Tx is not necessary, since the peak data rate can be up to 90Mbps for 64QAM and 1 layer with SCS=15KHz </w:t>
      </w:r>
      <w:r w:rsidRPr="00D2256E">
        <w:rPr>
          <w:rFonts w:eastAsia="宋体" w:cs="Times New Roman"/>
          <w:szCs w:val="20"/>
        </w:rPr>
        <w:lastRenderedPageBreak/>
        <w:t xml:space="preserve">according to the calculation. More Tx antennas bring more complexity and cost, which is not aligned with the motivation of the WI. Moreover, for 1Rx </w:t>
      </w:r>
      <w:proofErr w:type="spellStart"/>
      <w:r w:rsidRPr="00D2256E">
        <w:rPr>
          <w:rFonts w:eastAsia="宋体" w:cs="Times New Roman"/>
          <w:szCs w:val="20"/>
        </w:rPr>
        <w:t>RedCap</w:t>
      </w:r>
      <w:proofErr w:type="spellEnd"/>
      <w:r w:rsidRPr="00D2256E">
        <w:rPr>
          <w:rFonts w:eastAsia="宋体" w:cs="Times New Roman"/>
          <w:szCs w:val="20"/>
        </w:rPr>
        <w:t xml:space="preserve"> UE, supporting more than 1 UL port seems to be impossible due to the physical circuit. </w:t>
      </w:r>
    </w:p>
    <w:p w:rsidR="00A156BF" w:rsidRPr="00D2256E" w:rsidRDefault="00AD5FE4">
      <w:pPr>
        <w:spacing w:before="120" w:after="180"/>
        <w:rPr>
          <w:rFonts w:cs="Times New Roman"/>
          <w:szCs w:val="20"/>
        </w:rPr>
      </w:pPr>
      <w:r w:rsidRPr="00D2256E">
        <w:rPr>
          <w:rFonts w:eastAsia="宋体" w:cs="Times New Roman"/>
          <w:szCs w:val="20"/>
        </w:rPr>
        <w:t>Additionally, according to the RAN4 discussion [</w:t>
      </w:r>
      <w:r w:rsidRPr="00D2256E">
        <w:rPr>
          <w:rFonts w:cs="Times New Roman"/>
          <w:szCs w:val="20"/>
        </w:rPr>
        <w:t>4</w:t>
      </w:r>
      <w:r w:rsidRPr="00D2256E">
        <w:rPr>
          <w:rFonts w:eastAsia="宋体" w:cs="Times New Roman"/>
          <w:szCs w:val="20"/>
        </w:rPr>
        <w:t>] as following, actually 2Tx is excluded: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156BF">
        <w:tc>
          <w:tcPr>
            <w:tcW w:w="10081" w:type="dxa"/>
            <w:tcBorders>
              <w:top w:val="single" w:sz="4" w:space="0" w:color="auto"/>
              <w:left w:val="single" w:sz="4" w:space="0" w:color="auto"/>
              <w:bottom w:val="single" w:sz="4" w:space="0" w:color="auto"/>
              <w:right w:val="single" w:sz="4" w:space="0" w:color="auto"/>
            </w:tcBorders>
            <w:shd w:val="clear" w:color="auto" w:fill="auto"/>
          </w:tcPr>
          <w:p w:rsidR="00A156BF" w:rsidRDefault="00AD5FE4">
            <w:pPr>
              <w:overflowPunct w:val="0"/>
              <w:autoSpaceDE w:val="0"/>
              <w:autoSpaceDN w:val="0"/>
              <w:adjustRightInd w:val="0"/>
              <w:spacing w:before="120"/>
              <w:textAlignment w:val="baseline"/>
              <w:rPr>
                <w:b/>
                <w:szCs w:val="20"/>
                <w:u w:val="single"/>
              </w:rPr>
            </w:pPr>
            <w:r>
              <w:rPr>
                <w:rFonts w:eastAsia="宋体"/>
                <w:b/>
                <w:szCs w:val="20"/>
                <w:u w:val="single"/>
                <w:lang w:bidi="ar"/>
              </w:rPr>
              <w:t>Issue 1-1: Power class and TX architecture in FR1</w:t>
            </w:r>
          </w:p>
          <w:p w:rsidR="00A156BF" w:rsidRDefault="00AD5FE4">
            <w:pPr>
              <w:numPr>
                <w:ilvl w:val="0"/>
                <w:numId w:val="9"/>
              </w:numPr>
              <w:overflowPunct w:val="0"/>
              <w:autoSpaceDE w:val="0"/>
              <w:adjustRightInd w:val="0"/>
              <w:spacing w:before="120"/>
              <w:ind w:left="720"/>
              <w:textAlignment w:val="baseline"/>
              <w:rPr>
                <w:szCs w:val="20"/>
                <w:lang w:eastAsia="en-US"/>
              </w:rPr>
            </w:pPr>
            <w:r>
              <w:rPr>
                <w:rFonts w:eastAsia="宋体"/>
                <w:szCs w:val="20"/>
                <w:lang w:bidi="ar"/>
              </w:rPr>
              <w:t xml:space="preserve">Proposals: </w:t>
            </w:r>
          </w:p>
          <w:p w:rsidR="00A156BF" w:rsidRDefault="00AD5FE4">
            <w:pPr>
              <w:numPr>
                <w:ilvl w:val="1"/>
                <w:numId w:val="9"/>
              </w:numPr>
              <w:overflowPunct w:val="0"/>
              <w:autoSpaceDE w:val="0"/>
              <w:adjustRightInd w:val="0"/>
              <w:spacing w:before="120"/>
              <w:textAlignment w:val="baseline"/>
              <w:rPr>
                <w:i/>
                <w:szCs w:val="20"/>
                <w:lang w:eastAsia="en-US"/>
              </w:rPr>
            </w:pPr>
            <w:r>
              <w:rPr>
                <w:rFonts w:eastAsia="宋体"/>
                <w:szCs w:val="20"/>
                <w:lang w:bidi="ar"/>
              </w:rPr>
              <w:t xml:space="preserve"> Option 1: Agree below agreement from </w:t>
            </w:r>
            <w:r>
              <w:rPr>
                <w:rFonts w:eastAsia="宋体"/>
                <w:szCs w:val="20"/>
                <w:highlight w:val="green"/>
                <w:lang w:bidi="ar"/>
              </w:rPr>
              <w:t>RAN4#101-bis-e</w:t>
            </w:r>
            <w:r>
              <w:rPr>
                <w:rFonts w:eastAsia="MS Gothic"/>
                <w:i/>
                <w:szCs w:val="20"/>
                <w:lang w:bidi="ar"/>
              </w:rPr>
              <w:t xml:space="preserve"> </w:t>
            </w:r>
          </w:p>
          <w:p w:rsidR="00A156BF" w:rsidRDefault="00AD5FE4">
            <w:pPr>
              <w:overflowPunct w:val="0"/>
              <w:autoSpaceDE w:val="0"/>
              <w:autoSpaceDN w:val="0"/>
              <w:adjustRightInd w:val="0"/>
              <w:spacing w:before="120"/>
              <w:textAlignment w:val="baseline"/>
              <w:rPr>
                <w:szCs w:val="20"/>
                <w:u w:val="single"/>
                <w:lang w:eastAsia="en-US"/>
              </w:rPr>
            </w:pPr>
            <w:r>
              <w:rPr>
                <w:rFonts w:eastAsia="宋体"/>
                <w:szCs w:val="20"/>
                <w:u w:val="single"/>
                <w:lang w:bidi="ar"/>
              </w:rPr>
              <w:t xml:space="preserve">Issue 1-1-1: </w:t>
            </w:r>
            <w:r>
              <w:rPr>
                <w:rFonts w:eastAsia="宋体"/>
                <w:szCs w:val="20"/>
                <w:lang w:bidi="ar"/>
              </w:rPr>
              <w:t>1 PC3 UL TX architecture assumption</w:t>
            </w:r>
            <w:r>
              <w:rPr>
                <w:rFonts w:eastAsia="宋体"/>
                <w:szCs w:val="20"/>
                <w:u w:val="single"/>
                <w:lang w:bidi="ar"/>
              </w:rPr>
              <w:t xml:space="preserve"> </w:t>
            </w:r>
          </w:p>
          <w:p w:rsidR="00A156BF" w:rsidRDefault="00AD5FE4">
            <w:pPr>
              <w:numPr>
                <w:ilvl w:val="0"/>
                <w:numId w:val="9"/>
              </w:numPr>
              <w:overflowPunct w:val="0"/>
              <w:autoSpaceDE w:val="0"/>
              <w:adjustRightInd w:val="0"/>
              <w:spacing w:before="120"/>
              <w:ind w:left="2992"/>
              <w:textAlignment w:val="baseline"/>
              <w:rPr>
                <w:szCs w:val="20"/>
                <w:lang w:eastAsia="en-US"/>
              </w:rPr>
            </w:pPr>
            <w:r>
              <w:rPr>
                <w:rFonts w:eastAsia="宋体"/>
                <w:szCs w:val="20"/>
                <w:lang w:bidi="ar"/>
              </w:rPr>
              <w:t>WF</w:t>
            </w:r>
          </w:p>
          <w:p w:rsidR="00A156BF" w:rsidRDefault="00AD5FE4">
            <w:pPr>
              <w:numPr>
                <w:ilvl w:val="1"/>
                <w:numId w:val="9"/>
              </w:numPr>
              <w:overflowPunct w:val="0"/>
              <w:autoSpaceDE w:val="0"/>
              <w:adjustRightInd w:val="0"/>
              <w:spacing w:before="120"/>
              <w:ind w:left="3712"/>
              <w:textAlignment w:val="baseline"/>
              <w:rPr>
                <w:szCs w:val="20"/>
                <w:lang w:eastAsia="en-US"/>
              </w:rPr>
            </w:pPr>
            <w:r>
              <w:rPr>
                <w:rFonts w:eastAsia="宋体"/>
                <w:szCs w:val="20"/>
                <w:lang w:bidi="ar"/>
              </w:rPr>
              <w:t xml:space="preserve">For TX architecture of 23 dBm PA  </w:t>
            </w:r>
          </w:p>
          <w:p w:rsidR="00A156BF" w:rsidRDefault="00AD5FE4">
            <w:pPr>
              <w:overflowPunct w:val="0"/>
              <w:autoSpaceDE w:val="0"/>
              <w:autoSpaceDN w:val="0"/>
              <w:adjustRightInd w:val="0"/>
              <w:spacing w:before="120"/>
              <w:textAlignment w:val="baseline"/>
              <w:rPr>
                <w:szCs w:val="20"/>
                <w:u w:val="single"/>
                <w:lang w:eastAsia="en-US"/>
              </w:rPr>
            </w:pPr>
            <w:r>
              <w:rPr>
                <w:rFonts w:eastAsia="宋体"/>
                <w:szCs w:val="20"/>
                <w:u w:val="single"/>
                <w:lang w:bidi="ar"/>
              </w:rPr>
              <w:t xml:space="preserve">Issue 1-1-2: </w:t>
            </w:r>
            <w:r>
              <w:rPr>
                <w:rFonts w:eastAsia="宋体"/>
                <w:szCs w:val="20"/>
                <w:lang w:bidi="ar"/>
              </w:rPr>
              <w:t>PC2 UL TX architecture assumption</w:t>
            </w:r>
          </w:p>
          <w:p w:rsidR="00A156BF" w:rsidRDefault="00AD5FE4">
            <w:pPr>
              <w:numPr>
                <w:ilvl w:val="0"/>
                <w:numId w:val="9"/>
              </w:numPr>
              <w:overflowPunct w:val="0"/>
              <w:autoSpaceDE w:val="0"/>
              <w:adjustRightInd w:val="0"/>
              <w:spacing w:before="120"/>
              <w:ind w:left="2992"/>
              <w:textAlignment w:val="baseline"/>
              <w:rPr>
                <w:szCs w:val="20"/>
                <w:lang w:eastAsia="en-US"/>
              </w:rPr>
            </w:pPr>
            <w:r>
              <w:rPr>
                <w:rFonts w:eastAsia="宋体"/>
                <w:szCs w:val="20"/>
                <w:lang w:bidi="ar"/>
              </w:rPr>
              <w:t>WF</w:t>
            </w:r>
          </w:p>
          <w:p w:rsidR="00A156BF" w:rsidRDefault="00AD5FE4">
            <w:pPr>
              <w:numPr>
                <w:ilvl w:val="1"/>
                <w:numId w:val="9"/>
              </w:numPr>
              <w:overflowPunct w:val="0"/>
              <w:autoSpaceDE w:val="0"/>
              <w:adjustRightInd w:val="0"/>
              <w:spacing w:before="120"/>
              <w:ind w:left="3928"/>
              <w:textAlignment w:val="baseline"/>
              <w:rPr>
                <w:szCs w:val="20"/>
                <w:lang w:eastAsia="en-US"/>
              </w:rPr>
            </w:pPr>
            <w:r>
              <w:rPr>
                <w:rFonts w:eastAsia="宋体"/>
                <w:szCs w:val="20"/>
                <w:lang w:bidi="ar"/>
              </w:rPr>
              <w:t xml:space="preserve">1 TX of 26 dBm PA in Rel-17 and 2 TX architecture is excluded in Rel-17 </w:t>
            </w:r>
          </w:p>
          <w:p w:rsidR="00A156BF" w:rsidRDefault="00AD5FE4">
            <w:pPr>
              <w:overflowPunct w:val="0"/>
              <w:autoSpaceDE w:val="0"/>
              <w:autoSpaceDN w:val="0"/>
              <w:adjustRightInd w:val="0"/>
              <w:spacing w:before="120"/>
              <w:textAlignment w:val="baseline"/>
              <w:rPr>
                <w:szCs w:val="20"/>
                <w:u w:val="single"/>
                <w:lang w:eastAsia="en-US"/>
              </w:rPr>
            </w:pPr>
            <w:r>
              <w:rPr>
                <w:rFonts w:eastAsia="宋体"/>
                <w:szCs w:val="20"/>
                <w:u w:val="single"/>
                <w:lang w:bidi="ar"/>
              </w:rPr>
              <w:t xml:space="preserve">Issue 1-1-3: </w:t>
            </w:r>
            <w:r>
              <w:rPr>
                <w:rFonts w:eastAsia="宋体"/>
                <w:szCs w:val="20"/>
                <w:lang w:bidi="ar"/>
              </w:rPr>
              <w:t>PC2 support for HD-FDD mode</w:t>
            </w:r>
          </w:p>
          <w:p w:rsidR="00A156BF" w:rsidRDefault="00AD5FE4">
            <w:pPr>
              <w:numPr>
                <w:ilvl w:val="0"/>
                <w:numId w:val="9"/>
              </w:numPr>
              <w:overflowPunct w:val="0"/>
              <w:autoSpaceDE w:val="0"/>
              <w:adjustRightInd w:val="0"/>
              <w:spacing w:before="120"/>
              <w:ind w:left="2992"/>
              <w:textAlignment w:val="baseline"/>
              <w:rPr>
                <w:szCs w:val="20"/>
                <w:lang w:eastAsia="en-US"/>
              </w:rPr>
            </w:pPr>
            <w:r>
              <w:rPr>
                <w:rFonts w:eastAsia="宋体"/>
                <w:szCs w:val="20"/>
                <w:lang w:bidi="ar"/>
              </w:rPr>
              <w:t>WF</w:t>
            </w:r>
          </w:p>
          <w:p w:rsidR="00A156BF" w:rsidRDefault="00AD5FE4">
            <w:pPr>
              <w:numPr>
                <w:ilvl w:val="1"/>
                <w:numId w:val="9"/>
              </w:numPr>
              <w:overflowPunct w:val="0"/>
              <w:autoSpaceDE w:val="0"/>
              <w:adjustRightInd w:val="0"/>
              <w:spacing w:before="120"/>
              <w:ind w:left="3712"/>
              <w:textAlignment w:val="baseline"/>
              <w:rPr>
                <w:szCs w:val="20"/>
                <w:lang w:eastAsia="en-US"/>
              </w:rPr>
            </w:pPr>
            <w:r>
              <w:rPr>
                <w:rFonts w:eastAsia="宋体"/>
                <w:szCs w:val="20"/>
                <w:lang w:bidi="ar"/>
              </w:rPr>
              <w:t xml:space="preserve">PC2 support based on operator request </w:t>
            </w:r>
          </w:p>
          <w:p w:rsidR="00A156BF" w:rsidRDefault="00AD5FE4">
            <w:pPr>
              <w:numPr>
                <w:ilvl w:val="0"/>
                <w:numId w:val="9"/>
              </w:numPr>
              <w:overflowPunct w:val="0"/>
              <w:autoSpaceDE w:val="0"/>
              <w:adjustRightInd w:val="0"/>
              <w:spacing w:before="120"/>
              <w:ind w:left="720"/>
              <w:textAlignment w:val="baseline"/>
              <w:rPr>
                <w:szCs w:val="20"/>
                <w:lang w:eastAsia="en-US"/>
              </w:rPr>
            </w:pPr>
            <w:r>
              <w:rPr>
                <w:rFonts w:eastAsia="宋体"/>
                <w:szCs w:val="20"/>
                <w:lang w:bidi="ar"/>
              </w:rPr>
              <w:t>Recommended WF</w:t>
            </w:r>
          </w:p>
          <w:p w:rsidR="00A156BF" w:rsidRDefault="00AD5FE4">
            <w:pPr>
              <w:numPr>
                <w:ilvl w:val="1"/>
                <w:numId w:val="9"/>
              </w:numPr>
              <w:overflowPunct w:val="0"/>
              <w:autoSpaceDE w:val="0"/>
              <w:adjustRightInd w:val="0"/>
              <w:spacing w:before="120"/>
              <w:ind w:left="1440"/>
              <w:textAlignment w:val="baseline"/>
              <w:rPr>
                <w:szCs w:val="20"/>
                <w:lang w:eastAsia="en-US"/>
              </w:rPr>
            </w:pPr>
            <w:r>
              <w:rPr>
                <w:rFonts w:eastAsia="宋体"/>
                <w:szCs w:val="20"/>
                <w:lang w:bidi="ar"/>
              </w:rPr>
              <w:t>Option 1</w:t>
            </w:r>
          </w:p>
          <w:p w:rsidR="00A156BF" w:rsidRDefault="00AD5FE4">
            <w:pPr>
              <w:overflowPunct w:val="0"/>
              <w:autoSpaceDE w:val="0"/>
              <w:autoSpaceDN w:val="0"/>
              <w:adjustRightInd w:val="0"/>
              <w:spacing w:before="120"/>
              <w:textAlignment w:val="baseline"/>
              <w:rPr>
                <w:rFonts w:eastAsia="Malgun Gothic"/>
                <w:szCs w:val="20"/>
                <w:lang w:eastAsia="en-US"/>
              </w:rPr>
            </w:pPr>
            <w:r>
              <w:rPr>
                <w:rFonts w:eastAsia="Malgun Gothic"/>
                <w:szCs w:val="20"/>
                <w:lang w:bidi="ar"/>
              </w:rPr>
              <w:t xml:space="preserve">Discussion: </w:t>
            </w:r>
          </w:p>
          <w:p w:rsidR="00A156BF" w:rsidRDefault="00AD5FE4">
            <w:pPr>
              <w:overflowPunct w:val="0"/>
              <w:autoSpaceDE w:val="0"/>
              <w:autoSpaceDN w:val="0"/>
              <w:adjustRightInd w:val="0"/>
              <w:spacing w:before="120"/>
              <w:textAlignment w:val="baseline"/>
              <w:rPr>
                <w:rFonts w:eastAsia="Malgun Gothic"/>
                <w:b/>
                <w:szCs w:val="20"/>
                <w:lang w:eastAsia="en-US"/>
              </w:rPr>
            </w:pPr>
            <w:r>
              <w:rPr>
                <w:rFonts w:eastAsia="等线"/>
                <w:b/>
                <w:szCs w:val="20"/>
                <w:lang w:bidi="ar"/>
              </w:rPr>
              <w:t>Agreement: agree on Option 1.</w:t>
            </w:r>
          </w:p>
        </w:tc>
      </w:tr>
    </w:tbl>
    <w:p w:rsidR="00A156BF" w:rsidRDefault="00AD5FE4">
      <w:pPr>
        <w:spacing w:before="120" w:after="180"/>
        <w:rPr>
          <w:szCs w:val="20"/>
        </w:rPr>
      </w:pPr>
      <w:r>
        <w:rPr>
          <w:rFonts w:eastAsia="宋体" w:hint="eastAsia"/>
          <w:szCs w:val="20"/>
        </w:rPr>
        <w:t>Some discussion details can be found in [</w:t>
      </w:r>
      <w:r>
        <w:rPr>
          <w:rFonts w:hint="eastAsia"/>
          <w:szCs w:val="20"/>
        </w:rPr>
        <w:t>5</w:t>
      </w:r>
      <w:r>
        <w:rPr>
          <w:rFonts w:eastAsia="宋体" w:hint="eastAsia"/>
          <w:szCs w:val="20"/>
        </w:rPr>
        <w:t>], as shown in the following:</w:t>
      </w:r>
    </w:p>
    <w:tbl>
      <w:tblPr>
        <w:tblStyle w:val="af4"/>
        <w:tblW w:w="0" w:type="auto"/>
        <w:tblLook w:val="04A0" w:firstRow="1" w:lastRow="0" w:firstColumn="1" w:lastColumn="0" w:noHBand="0" w:noVBand="1"/>
      </w:tblPr>
      <w:tblGrid>
        <w:gridCol w:w="9628"/>
      </w:tblGrid>
      <w:tr w:rsidR="00A156BF">
        <w:tc>
          <w:tcPr>
            <w:tcW w:w="9854" w:type="dxa"/>
          </w:tcPr>
          <w:p w:rsidR="00A156BF" w:rsidRDefault="00AD5FE4">
            <w:pPr>
              <w:spacing w:before="120"/>
            </w:pPr>
            <w:r>
              <w:t xml:space="preserve">WF: </w:t>
            </w:r>
          </w:p>
          <w:tbl>
            <w:tblPr>
              <w:tblStyle w:val="af4"/>
              <w:tblW w:w="0" w:type="auto"/>
              <w:tblLook w:val="04A0" w:firstRow="1" w:lastRow="0" w:firstColumn="1" w:lastColumn="0" w:noHBand="0" w:noVBand="1"/>
            </w:tblPr>
            <w:tblGrid>
              <w:gridCol w:w="1801"/>
              <w:gridCol w:w="7601"/>
            </w:tblGrid>
            <w:tr w:rsidR="00A156BF" w:rsidRPr="00D2256E">
              <w:tc>
                <w:tcPr>
                  <w:tcW w:w="1838" w:type="dxa"/>
                </w:tcPr>
                <w:p w:rsidR="00A156BF" w:rsidRPr="00D2256E" w:rsidRDefault="00AD5FE4" w:rsidP="00D2256E">
                  <w:pPr>
                    <w:overflowPunct w:val="0"/>
                    <w:autoSpaceDE w:val="0"/>
                    <w:autoSpaceDN w:val="0"/>
                    <w:adjustRightInd w:val="0"/>
                    <w:spacing w:before="120"/>
                    <w:textAlignment w:val="baseline"/>
                    <w:rPr>
                      <w:rFonts w:cs="Times New Roman"/>
                      <w:color w:val="0070C0"/>
                    </w:rPr>
                  </w:pPr>
                  <w:r w:rsidRPr="00D2256E">
                    <w:rPr>
                      <w:rFonts w:cs="Times New Roman"/>
                      <w:b/>
                      <w:bCs/>
                      <w:color w:val="0070C0"/>
                    </w:rPr>
                    <w:t>Issue 1-1-1</w:t>
                  </w:r>
                </w:p>
              </w:tc>
              <w:tc>
                <w:tcPr>
                  <w:tcW w:w="7793" w:type="dxa"/>
                </w:tcPr>
                <w:p w:rsidR="00A156BF" w:rsidRPr="00D2256E" w:rsidRDefault="00AD5FE4" w:rsidP="00D2256E">
                  <w:pPr>
                    <w:overflowPunct w:val="0"/>
                    <w:autoSpaceDE w:val="0"/>
                    <w:autoSpaceDN w:val="0"/>
                    <w:adjustRightInd w:val="0"/>
                    <w:spacing w:before="120"/>
                    <w:textAlignment w:val="baseline"/>
                    <w:rPr>
                      <w:rFonts w:cs="Times New Roman"/>
                      <w:i/>
                      <w:color w:val="0070C0"/>
                    </w:rPr>
                  </w:pPr>
                  <w:r w:rsidRPr="00D2256E">
                    <w:rPr>
                      <w:rFonts w:cs="Times New Roman"/>
                      <w:i/>
                      <w:color w:val="0070C0"/>
                    </w:rPr>
                    <w:t>Agreements:</w:t>
                  </w:r>
                  <w:r w:rsidRPr="00D2256E">
                    <w:rPr>
                      <w:rFonts w:eastAsia="宋体" w:cs="Times New Roman"/>
                      <w:bCs/>
                    </w:rPr>
                    <w:t xml:space="preserve">1 TX architecture of 23 dBm PA  </w:t>
                  </w:r>
                </w:p>
                <w:p w:rsidR="00A156BF" w:rsidRPr="00D2256E" w:rsidRDefault="00AD5FE4" w:rsidP="00D2256E">
                  <w:pPr>
                    <w:overflowPunct w:val="0"/>
                    <w:autoSpaceDE w:val="0"/>
                    <w:autoSpaceDN w:val="0"/>
                    <w:adjustRightInd w:val="0"/>
                    <w:spacing w:before="120"/>
                    <w:textAlignment w:val="baseline"/>
                    <w:rPr>
                      <w:rFonts w:cs="Times New Roman"/>
                      <w:i/>
                      <w:color w:val="0070C0"/>
                    </w:rPr>
                  </w:pPr>
                  <w:r w:rsidRPr="00D2256E">
                    <w:rPr>
                      <w:rFonts w:cs="Times New Roman"/>
                      <w:i/>
                      <w:color w:val="0070C0"/>
                    </w:rPr>
                    <w:t>Candidate options:</w:t>
                  </w:r>
                </w:p>
                <w:p w:rsidR="00A156BF" w:rsidRPr="00D2256E" w:rsidRDefault="00AD5FE4" w:rsidP="00D2256E">
                  <w:pPr>
                    <w:overflowPunct w:val="0"/>
                    <w:autoSpaceDE w:val="0"/>
                    <w:autoSpaceDN w:val="0"/>
                    <w:adjustRightInd w:val="0"/>
                    <w:spacing w:before="120"/>
                    <w:textAlignment w:val="baseline"/>
                    <w:rPr>
                      <w:rFonts w:cs="Times New Roman"/>
                      <w:i/>
                      <w:color w:val="0070C0"/>
                    </w:rPr>
                  </w:pPr>
                  <w:r w:rsidRPr="00D2256E">
                    <w:rPr>
                      <w:rFonts w:cs="Times New Roman"/>
                      <w:i/>
                      <w:color w:val="0070C0"/>
                    </w:rPr>
                    <w:t>Recommendations for 2</w:t>
                  </w:r>
                  <w:r w:rsidRPr="00D2256E">
                    <w:rPr>
                      <w:rFonts w:cs="Times New Roman"/>
                      <w:i/>
                      <w:color w:val="0070C0"/>
                      <w:vertAlign w:val="superscript"/>
                    </w:rPr>
                    <w:t>nd</w:t>
                  </w:r>
                  <w:r w:rsidRPr="00D2256E">
                    <w:rPr>
                      <w:rFonts w:cs="Times New Roman"/>
                      <w:i/>
                      <w:color w:val="0070C0"/>
                    </w:rPr>
                    <w:t xml:space="preserve"> round:</w:t>
                  </w:r>
                </w:p>
                <w:p w:rsidR="00A156BF" w:rsidRPr="00D2256E" w:rsidRDefault="00AD5FE4" w:rsidP="00D2256E">
                  <w:pPr>
                    <w:overflowPunct w:val="0"/>
                    <w:autoSpaceDE w:val="0"/>
                    <w:autoSpaceDN w:val="0"/>
                    <w:adjustRightInd w:val="0"/>
                    <w:spacing w:before="120"/>
                    <w:textAlignment w:val="baseline"/>
                    <w:rPr>
                      <w:rFonts w:cs="Times New Roman"/>
                      <w:color w:val="0070C0"/>
                    </w:rPr>
                  </w:pPr>
                  <w:r w:rsidRPr="00D2256E">
                    <w:rPr>
                      <w:rFonts w:cs="Times New Roman"/>
                      <w:color w:val="0070C0"/>
                    </w:rPr>
                    <w:t>No need to discuss in 2</w:t>
                  </w:r>
                  <w:r w:rsidRPr="00D2256E">
                    <w:rPr>
                      <w:rFonts w:cs="Times New Roman"/>
                      <w:color w:val="0070C0"/>
                      <w:vertAlign w:val="superscript"/>
                    </w:rPr>
                    <w:t>nd</w:t>
                  </w:r>
                  <w:r w:rsidRPr="00D2256E">
                    <w:rPr>
                      <w:rFonts w:cs="Times New Roman"/>
                      <w:color w:val="0070C0"/>
                    </w:rPr>
                    <w:t xml:space="preserve"> round.</w:t>
                  </w:r>
                </w:p>
              </w:tc>
            </w:tr>
            <w:tr w:rsidR="00A156BF" w:rsidRPr="00D2256E">
              <w:tc>
                <w:tcPr>
                  <w:tcW w:w="1838" w:type="dxa"/>
                </w:tcPr>
                <w:p w:rsidR="00A156BF" w:rsidRPr="00D2256E" w:rsidRDefault="00AD5FE4" w:rsidP="00D2256E">
                  <w:pPr>
                    <w:overflowPunct w:val="0"/>
                    <w:autoSpaceDE w:val="0"/>
                    <w:autoSpaceDN w:val="0"/>
                    <w:adjustRightInd w:val="0"/>
                    <w:spacing w:before="120"/>
                    <w:textAlignment w:val="baseline"/>
                    <w:rPr>
                      <w:rFonts w:cs="Times New Roman"/>
                      <w:b/>
                      <w:bCs/>
                      <w:color w:val="0070C0"/>
                    </w:rPr>
                  </w:pPr>
                  <w:r w:rsidRPr="00D2256E">
                    <w:rPr>
                      <w:rFonts w:cs="Times New Roman"/>
                      <w:b/>
                      <w:bCs/>
                      <w:color w:val="0070C0"/>
                    </w:rPr>
                    <w:t>Issue 1-1-2</w:t>
                  </w:r>
                </w:p>
              </w:tc>
              <w:tc>
                <w:tcPr>
                  <w:tcW w:w="7793" w:type="dxa"/>
                </w:tcPr>
                <w:p w:rsidR="00A156BF" w:rsidRPr="00D2256E" w:rsidRDefault="00AD5FE4" w:rsidP="00D2256E">
                  <w:pPr>
                    <w:overflowPunct w:val="0"/>
                    <w:autoSpaceDE w:val="0"/>
                    <w:autoSpaceDN w:val="0"/>
                    <w:adjustRightInd w:val="0"/>
                    <w:spacing w:before="120"/>
                    <w:textAlignment w:val="baseline"/>
                    <w:rPr>
                      <w:rFonts w:cs="Times New Roman"/>
                      <w:bCs/>
                    </w:rPr>
                  </w:pPr>
                  <w:r w:rsidRPr="00D2256E">
                    <w:rPr>
                      <w:rFonts w:cs="Times New Roman"/>
                      <w:i/>
                      <w:color w:val="0070C0"/>
                    </w:rPr>
                    <w:t>Tentative agreements:</w:t>
                  </w:r>
                  <w:r w:rsidRPr="00D2256E">
                    <w:rPr>
                      <w:rFonts w:eastAsia="宋体" w:cs="Times New Roman"/>
                      <w:bCs/>
                    </w:rPr>
                    <w:t xml:space="preserve"> </w:t>
                  </w:r>
                </w:p>
                <w:p w:rsidR="00A156BF" w:rsidRPr="00D2256E" w:rsidRDefault="00AD5FE4" w:rsidP="00D2256E">
                  <w:pPr>
                    <w:overflowPunct w:val="0"/>
                    <w:autoSpaceDE w:val="0"/>
                    <w:autoSpaceDN w:val="0"/>
                    <w:adjustRightInd w:val="0"/>
                    <w:spacing w:before="120"/>
                    <w:textAlignment w:val="baseline"/>
                    <w:rPr>
                      <w:rFonts w:cs="Times New Roman"/>
                      <w:i/>
                      <w:color w:val="0070C0"/>
                    </w:rPr>
                  </w:pPr>
                  <w:r w:rsidRPr="00D2256E">
                    <w:rPr>
                      <w:rFonts w:eastAsia="宋体" w:cs="Times New Roman"/>
                      <w:bCs/>
                    </w:rPr>
                    <w:t xml:space="preserve">1 TX of 26 dBm PA in Rel-17 and 2 TX architecture is excluded in Rel-17 </w:t>
                  </w:r>
                </w:p>
                <w:p w:rsidR="00A156BF" w:rsidRPr="00D2256E" w:rsidRDefault="00AD5FE4" w:rsidP="00D2256E">
                  <w:pPr>
                    <w:overflowPunct w:val="0"/>
                    <w:autoSpaceDE w:val="0"/>
                    <w:autoSpaceDN w:val="0"/>
                    <w:adjustRightInd w:val="0"/>
                    <w:spacing w:before="120"/>
                    <w:textAlignment w:val="baseline"/>
                    <w:rPr>
                      <w:rFonts w:cs="Times New Roman"/>
                      <w:i/>
                      <w:color w:val="0070C0"/>
                    </w:rPr>
                  </w:pPr>
                  <w:r w:rsidRPr="00D2256E">
                    <w:rPr>
                      <w:rFonts w:cs="Times New Roman"/>
                      <w:i/>
                      <w:color w:val="0070C0"/>
                    </w:rPr>
                    <w:t>Candidate options:</w:t>
                  </w:r>
                </w:p>
                <w:p w:rsidR="00A156BF" w:rsidRPr="00D2256E" w:rsidRDefault="00AD5FE4" w:rsidP="00D2256E">
                  <w:pPr>
                    <w:overflowPunct w:val="0"/>
                    <w:autoSpaceDE w:val="0"/>
                    <w:autoSpaceDN w:val="0"/>
                    <w:adjustRightInd w:val="0"/>
                    <w:spacing w:before="120"/>
                    <w:textAlignment w:val="baseline"/>
                    <w:rPr>
                      <w:rFonts w:cs="Times New Roman"/>
                      <w:i/>
                      <w:color w:val="0070C0"/>
                    </w:rPr>
                  </w:pPr>
                  <w:r w:rsidRPr="00D2256E">
                    <w:rPr>
                      <w:rFonts w:cs="Times New Roman"/>
                      <w:i/>
                      <w:color w:val="0070C0"/>
                    </w:rPr>
                    <w:t>Recommendations for 2</w:t>
                  </w:r>
                  <w:r w:rsidRPr="00D2256E">
                    <w:rPr>
                      <w:rFonts w:cs="Times New Roman"/>
                      <w:i/>
                      <w:color w:val="0070C0"/>
                      <w:vertAlign w:val="superscript"/>
                    </w:rPr>
                    <w:t>nd</w:t>
                  </w:r>
                  <w:r w:rsidRPr="00D2256E">
                    <w:rPr>
                      <w:rFonts w:cs="Times New Roman"/>
                      <w:i/>
                      <w:color w:val="0070C0"/>
                    </w:rPr>
                    <w:t xml:space="preserve"> round:</w:t>
                  </w:r>
                </w:p>
                <w:p w:rsidR="00A156BF" w:rsidRPr="00D2256E" w:rsidRDefault="00AD5FE4" w:rsidP="00D2256E">
                  <w:pPr>
                    <w:overflowPunct w:val="0"/>
                    <w:autoSpaceDE w:val="0"/>
                    <w:autoSpaceDN w:val="0"/>
                    <w:adjustRightInd w:val="0"/>
                    <w:spacing w:before="120"/>
                    <w:textAlignment w:val="baseline"/>
                    <w:rPr>
                      <w:rFonts w:cs="Times New Roman"/>
                      <w:i/>
                      <w:color w:val="0070C0"/>
                    </w:rPr>
                  </w:pPr>
                  <w:r w:rsidRPr="00D2256E">
                    <w:rPr>
                      <w:rFonts w:cs="Times New Roman"/>
                      <w:i/>
                      <w:color w:val="0070C0"/>
                    </w:rPr>
                    <w:t>Discuss the tentative agreement.</w:t>
                  </w:r>
                </w:p>
              </w:tc>
            </w:tr>
            <w:tr w:rsidR="00A156BF" w:rsidRPr="00D2256E">
              <w:tc>
                <w:tcPr>
                  <w:tcW w:w="1838" w:type="dxa"/>
                </w:tcPr>
                <w:p w:rsidR="00A156BF" w:rsidRPr="00D2256E" w:rsidRDefault="00AD5FE4" w:rsidP="00D2256E">
                  <w:pPr>
                    <w:overflowPunct w:val="0"/>
                    <w:autoSpaceDE w:val="0"/>
                    <w:autoSpaceDN w:val="0"/>
                    <w:adjustRightInd w:val="0"/>
                    <w:spacing w:before="120"/>
                    <w:textAlignment w:val="baseline"/>
                    <w:rPr>
                      <w:rFonts w:cs="Times New Roman"/>
                      <w:b/>
                      <w:bCs/>
                      <w:color w:val="0070C0"/>
                    </w:rPr>
                  </w:pPr>
                  <w:r w:rsidRPr="00D2256E">
                    <w:rPr>
                      <w:rFonts w:cs="Times New Roman"/>
                      <w:b/>
                      <w:bCs/>
                      <w:color w:val="0070C0"/>
                    </w:rPr>
                    <w:t>Issue 1-1-3</w:t>
                  </w:r>
                </w:p>
              </w:tc>
              <w:tc>
                <w:tcPr>
                  <w:tcW w:w="7793" w:type="dxa"/>
                </w:tcPr>
                <w:p w:rsidR="00A156BF" w:rsidRPr="00D2256E" w:rsidRDefault="00AD5FE4" w:rsidP="00D2256E">
                  <w:pPr>
                    <w:overflowPunct w:val="0"/>
                    <w:autoSpaceDE w:val="0"/>
                    <w:autoSpaceDN w:val="0"/>
                    <w:adjustRightInd w:val="0"/>
                    <w:spacing w:before="120"/>
                    <w:textAlignment w:val="baseline"/>
                    <w:rPr>
                      <w:rFonts w:cs="Times New Roman"/>
                      <w:bCs/>
                    </w:rPr>
                  </w:pPr>
                  <w:r w:rsidRPr="00D2256E">
                    <w:rPr>
                      <w:rFonts w:cs="Times New Roman"/>
                      <w:i/>
                      <w:color w:val="0070C0"/>
                    </w:rPr>
                    <w:t>Agreements:</w:t>
                  </w:r>
                  <w:r w:rsidRPr="00D2256E">
                    <w:rPr>
                      <w:rFonts w:eastAsia="宋体" w:cs="Times New Roman"/>
                      <w:bCs/>
                    </w:rPr>
                    <w:t xml:space="preserve"> </w:t>
                  </w:r>
                </w:p>
                <w:p w:rsidR="00A156BF" w:rsidRPr="00D2256E" w:rsidRDefault="00AD5FE4" w:rsidP="00D2256E">
                  <w:pPr>
                    <w:overflowPunct w:val="0"/>
                    <w:autoSpaceDE w:val="0"/>
                    <w:autoSpaceDN w:val="0"/>
                    <w:adjustRightInd w:val="0"/>
                    <w:spacing w:before="120"/>
                    <w:textAlignment w:val="baseline"/>
                    <w:rPr>
                      <w:rFonts w:cs="Times New Roman"/>
                      <w:bCs/>
                    </w:rPr>
                  </w:pPr>
                  <w:r w:rsidRPr="00D2256E">
                    <w:rPr>
                      <w:rFonts w:eastAsia="宋体" w:cs="Times New Roman"/>
                      <w:bCs/>
                    </w:rPr>
                    <w:t>Based on operator support. (Previous WF)</w:t>
                  </w:r>
                </w:p>
                <w:p w:rsidR="00A156BF" w:rsidRPr="00D2256E" w:rsidRDefault="00AD5FE4" w:rsidP="00D2256E">
                  <w:pPr>
                    <w:overflowPunct w:val="0"/>
                    <w:autoSpaceDE w:val="0"/>
                    <w:autoSpaceDN w:val="0"/>
                    <w:adjustRightInd w:val="0"/>
                    <w:spacing w:before="120"/>
                    <w:textAlignment w:val="baseline"/>
                    <w:rPr>
                      <w:rFonts w:cs="Times New Roman"/>
                      <w:i/>
                      <w:color w:val="0070C0"/>
                    </w:rPr>
                  </w:pPr>
                  <w:r w:rsidRPr="00D2256E">
                    <w:rPr>
                      <w:rFonts w:cs="Times New Roman"/>
                      <w:i/>
                      <w:color w:val="0070C0"/>
                    </w:rPr>
                    <w:t>Candidate options:</w:t>
                  </w:r>
                </w:p>
                <w:p w:rsidR="00A156BF" w:rsidRPr="00D2256E" w:rsidRDefault="00AD5FE4" w:rsidP="00D2256E">
                  <w:pPr>
                    <w:overflowPunct w:val="0"/>
                    <w:autoSpaceDE w:val="0"/>
                    <w:autoSpaceDN w:val="0"/>
                    <w:adjustRightInd w:val="0"/>
                    <w:spacing w:before="120"/>
                    <w:textAlignment w:val="baseline"/>
                    <w:rPr>
                      <w:rFonts w:cs="Times New Roman"/>
                      <w:i/>
                      <w:color w:val="0070C0"/>
                    </w:rPr>
                  </w:pPr>
                  <w:r w:rsidRPr="00D2256E">
                    <w:rPr>
                      <w:rFonts w:cs="Times New Roman"/>
                      <w:i/>
                      <w:color w:val="0070C0"/>
                    </w:rPr>
                    <w:t>Recommendations for 2</w:t>
                  </w:r>
                  <w:r w:rsidRPr="00D2256E">
                    <w:rPr>
                      <w:rFonts w:cs="Times New Roman"/>
                      <w:i/>
                      <w:color w:val="0070C0"/>
                      <w:vertAlign w:val="superscript"/>
                    </w:rPr>
                    <w:t>nd</w:t>
                  </w:r>
                  <w:r w:rsidRPr="00D2256E">
                    <w:rPr>
                      <w:rFonts w:cs="Times New Roman"/>
                      <w:i/>
                      <w:color w:val="0070C0"/>
                    </w:rPr>
                    <w:t xml:space="preserve"> round:</w:t>
                  </w:r>
                </w:p>
                <w:p w:rsidR="00A156BF" w:rsidRPr="00D2256E" w:rsidRDefault="00AD5FE4" w:rsidP="00D2256E">
                  <w:pPr>
                    <w:overflowPunct w:val="0"/>
                    <w:autoSpaceDE w:val="0"/>
                    <w:autoSpaceDN w:val="0"/>
                    <w:adjustRightInd w:val="0"/>
                    <w:spacing w:before="120"/>
                    <w:textAlignment w:val="baseline"/>
                    <w:rPr>
                      <w:rFonts w:cs="Times New Roman"/>
                      <w:i/>
                      <w:color w:val="0070C0"/>
                    </w:rPr>
                  </w:pPr>
                  <w:r w:rsidRPr="00D2256E">
                    <w:rPr>
                      <w:rFonts w:cs="Times New Roman"/>
                      <w:color w:val="0070C0"/>
                    </w:rPr>
                    <w:t>No need to discuss in 2</w:t>
                  </w:r>
                  <w:r w:rsidRPr="00D2256E">
                    <w:rPr>
                      <w:rFonts w:cs="Times New Roman"/>
                      <w:color w:val="0070C0"/>
                      <w:vertAlign w:val="superscript"/>
                    </w:rPr>
                    <w:t>nd</w:t>
                  </w:r>
                  <w:r w:rsidRPr="00D2256E">
                    <w:rPr>
                      <w:rFonts w:cs="Times New Roman"/>
                      <w:color w:val="0070C0"/>
                    </w:rPr>
                    <w:t xml:space="preserve"> round.</w:t>
                  </w:r>
                </w:p>
              </w:tc>
            </w:tr>
          </w:tbl>
          <w:p w:rsidR="00A156BF" w:rsidRDefault="00A156BF">
            <w:pPr>
              <w:spacing w:before="120" w:after="180" w:line="240" w:lineRule="auto"/>
              <w:rPr>
                <w:szCs w:val="20"/>
              </w:rPr>
            </w:pPr>
          </w:p>
        </w:tc>
      </w:tr>
    </w:tbl>
    <w:p w:rsidR="00A156BF" w:rsidRPr="00D2256E" w:rsidRDefault="00AD5FE4">
      <w:pPr>
        <w:spacing w:before="120" w:after="180"/>
        <w:rPr>
          <w:rFonts w:cs="Times New Roman"/>
          <w:szCs w:val="20"/>
        </w:rPr>
      </w:pPr>
      <w:r w:rsidRPr="00D2256E">
        <w:rPr>
          <w:rFonts w:eastAsia="宋体" w:cs="Times New Roman"/>
          <w:szCs w:val="20"/>
        </w:rPr>
        <w:t xml:space="preserve">The common understanding in RAN4 is that </w:t>
      </w:r>
      <w:r w:rsidRPr="00D2256E">
        <w:rPr>
          <w:rFonts w:eastAsia="宋体" w:cs="Times New Roman"/>
          <w:bCs/>
        </w:rPr>
        <w:t>1 TX architecture of 23 dBm PA is supported and 2 TX architecture of 23 dBm PA</w:t>
      </w:r>
      <w:r w:rsidRPr="00D2256E">
        <w:rPr>
          <w:rFonts w:cs="Times New Roman"/>
          <w:bCs/>
        </w:rPr>
        <w:t xml:space="preserve"> is not supported, even though the description may be missed in the agreement of </w:t>
      </w:r>
      <w:r w:rsidRPr="00D2256E">
        <w:rPr>
          <w:rFonts w:eastAsia="宋体" w:cs="Times New Roman"/>
          <w:szCs w:val="20"/>
          <w:lang w:bidi="ar"/>
        </w:rPr>
        <w:t>RAN4#10</w:t>
      </w:r>
      <w:r w:rsidRPr="00D2256E">
        <w:rPr>
          <w:rFonts w:cs="Times New Roman"/>
          <w:szCs w:val="20"/>
          <w:lang w:bidi="ar"/>
        </w:rPr>
        <w:t>2</w:t>
      </w:r>
      <w:r w:rsidRPr="00D2256E">
        <w:rPr>
          <w:rFonts w:eastAsia="宋体" w:cs="Times New Roman"/>
          <w:szCs w:val="20"/>
          <w:lang w:bidi="ar"/>
        </w:rPr>
        <w:t>-e</w:t>
      </w:r>
      <w:r w:rsidRPr="00D2256E">
        <w:rPr>
          <w:rFonts w:cs="Times New Roman"/>
          <w:szCs w:val="20"/>
          <w:lang w:bidi="ar"/>
        </w:rPr>
        <w:t>. B</w:t>
      </w:r>
      <w:r w:rsidRPr="00D2256E">
        <w:rPr>
          <w:rFonts w:eastAsia="宋体" w:cs="Times New Roman"/>
          <w:szCs w:val="20"/>
        </w:rPr>
        <w:t xml:space="preserve">ased on above, </w:t>
      </w:r>
      <w:r w:rsidRPr="00D2256E">
        <w:rPr>
          <w:rFonts w:eastAsia="宋体" w:cs="Times New Roman"/>
          <w:szCs w:val="20"/>
        </w:rPr>
        <w:lastRenderedPageBreak/>
        <w:t>the FGs exceeding 1 Rx UE capability should not be supported, e.g., FG 2-13, 2-14, 2-16b . Therefore, we have the following proposal:</w:t>
      </w:r>
    </w:p>
    <w:p w:rsidR="00A156BF" w:rsidRPr="00D2256E" w:rsidRDefault="00AD5FE4" w:rsidP="00D2256E">
      <w:pPr>
        <w:overflowPunct w:val="0"/>
        <w:autoSpaceDE w:val="0"/>
        <w:autoSpaceDN w:val="0"/>
        <w:adjustRightInd w:val="0"/>
        <w:spacing w:before="120" w:after="120"/>
        <w:textAlignment w:val="baseline"/>
        <w:rPr>
          <w:rFonts w:cs="Times New Roman"/>
          <w:b/>
          <w:i/>
          <w:szCs w:val="20"/>
          <w:lang w:bidi="ar"/>
        </w:rPr>
      </w:pPr>
      <w:r w:rsidRPr="00D2256E">
        <w:rPr>
          <w:rFonts w:eastAsia="宋体" w:cs="Times New Roman"/>
          <w:b/>
          <w:i/>
          <w:szCs w:val="20"/>
          <w:lang w:bidi="ar"/>
        </w:rPr>
        <w:t xml:space="preserve">Proposal </w:t>
      </w:r>
      <w:r w:rsidRPr="00D2256E">
        <w:rPr>
          <w:rFonts w:cs="Times New Roman"/>
          <w:b/>
          <w:i/>
          <w:szCs w:val="20"/>
          <w:lang w:bidi="ar"/>
        </w:rPr>
        <w:t>4</w:t>
      </w:r>
      <w:r w:rsidRPr="00D2256E">
        <w:rPr>
          <w:rFonts w:eastAsia="宋体" w:cs="Times New Roman"/>
          <w:b/>
          <w:i/>
          <w:szCs w:val="20"/>
          <w:lang w:bidi="ar"/>
        </w:rPr>
        <w:t xml:space="preserve">: </w:t>
      </w:r>
      <w:r w:rsidRPr="00D2256E">
        <w:rPr>
          <w:rFonts w:eastAsia="宋体" w:cs="Times New Roman"/>
          <w:i/>
          <w:szCs w:val="20"/>
          <w:lang w:bidi="ar"/>
        </w:rPr>
        <w:t xml:space="preserve">For </w:t>
      </w:r>
      <w:proofErr w:type="spellStart"/>
      <w:r w:rsidRPr="00D2256E">
        <w:rPr>
          <w:rFonts w:eastAsia="宋体" w:cs="Times New Roman"/>
          <w:i/>
          <w:szCs w:val="20"/>
          <w:lang w:bidi="ar"/>
        </w:rPr>
        <w:t>RedCap</w:t>
      </w:r>
      <w:proofErr w:type="spellEnd"/>
      <w:r w:rsidRPr="00D2256E">
        <w:rPr>
          <w:rFonts w:eastAsia="宋体" w:cs="Times New Roman"/>
          <w:i/>
          <w:szCs w:val="20"/>
          <w:lang w:bidi="ar"/>
        </w:rPr>
        <w:t xml:space="preserve"> UE, UE capabilities exceeding 1Tx capability </w:t>
      </w:r>
      <w:r w:rsidRPr="00D2256E">
        <w:rPr>
          <w:rFonts w:cs="Times New Roman"/>
          <w:i/>
          <w:szCs w:val="20"/>
          <w:lang w:bidi="ar"/>
        </w:rPr>
        <w:t xml:space="preserve">are </w:t>
      </w:r>
      <w:r w:rsidRPr="00D2256E">
        <w:rPr>
          <w:rFonts w:eastAsia="宋体" w:cs="Times New Roman"/>
          <w:i/>
          <w:szCs w:val="20"/>
          <w:lang w:bidi="ar"/>
        </w:rPr>
        <w:t>not supported.</w:t>
      </w:r>
    </w:p>
    <w:p w:rsidR="00D2256E" w:rsidRDefault="00D2256E">
      <w:pPr>
        <w:spacing w:before="120" w:after="180"/>
        <w:rPr>
          <w:rFonts w:eastAsia="宋体"/>
          <w:szCs w:val="20"/>
        </w:rPr>
      </w:pPr>
    </w:p>
    <w:p w:rsidR="00A156BF" w:rsidRPr="00D2256E" w:rsidRDefault="00AD5FE4">
      <w:pPr>
        <w:spacing w:before="120" w:after="180"/>
        <w:rPr>
          <w:rFonts w:cs="Times New Roman"/>
          <w:szCs w:val="20"/>
        </w:rPr>
      </w:pPr>
      <w:r w:rsidRPr="00D2256E">
        <w:rPr>
          <w:rFonts w:eastAsia="宋体" w:cs="Times New Roman"/>
          <w:szCs w:val="20"/>
        </w:rPr>
        <w:t xml:space="preserve">For those Rel-17 features, we also need to determine whether </w:t>
      </w:r>
      <w:proofErr w:type="spellStart"/>
      <w:r w:rsidRPr="00D2256E">
        <w:rPr>
          <w:rFonts w:eastAsia="宋体" w:cs="Times New Roman"/>
          <w:szCs w:val="20"/>
        </w:rPr>
        <w:t>RedCap</w:t>
      </w:r>
      <w:proofErr w:type="spellEnd"/>
      <w:r w:rsidRPr="00D2256E">
        <w:rPr>
          <w:rFonts w:eastAsia="宋体" w:cs="Times New Roman"/>
          <w:szCs w:val="20"/>
        </w:rPr>
        <w:t xml:space="preserve"> UE can support or not. At least </w:t>
      </w:r>
      <w:proofErr w:type="spellStart"/>
      <w:r w:rsidRPr="00D2256E">
        <w:rPr>
          <w:rFonts w:eastAsia="宋体" w:cs="Times New Roman"/>
          <w:szCs w:val="20"/>
        </w:rPr>
        <w:t>eIAB</w:t>
      </w:r>
      <w:proofErr w:type="spellEnd"/>
      <w:r w:rsidRPr="00D2256E">
        <w:rPr>
          <w:rFonts w:eastAsia="宋体" w:cs="Times New Roman"/>
          <w:szCs w:val="20"/>
        </w:rPr>
        <w:t xml:space="preserve"> and NR DC/CA further enhancements should not be supported according to the Rel-17 </w:t>
      </w:r>
      <w:proofErr w:type="spellStart"/>
      <w:r w:rsidRPr="00D2256E">
        <w:rPr>
          <w:rFonts w:eastAsia="宋体" w:cs="Times New Roman"/>
          <w:szCs w:val="20"/>
        </w:rPr>
        <w:t>RedCap</w:t>
      </w:r>
      <w:proofErr w:type="spellEnd"/>
      <w:r w:rsidRPr="00D2256E">
        <w:rPr>
          <w:rFonts w:eastAsia="宋体" w:cs="Times New Roman"/>
          <w:szCs w:val="20"/>
        </w:rPr>
        <w:t xml:space="preserve"> WID and agreement.  Regarding above-52GHz, from our perspective, it is premature to support this feature, since some of the FGs actually exceeds the </w:t>
      </w:r>
      <w:proofErr w:type="spellStart"/>
      <w:r w:rsidRPr="00D2256E">
        <w:rPr>
          <w:rFonts w:eastAsia="宋体" w:cs="Times New Roman"/>
          <w:szCs w:val="20"/>
        </w:rPr>
        <w:t>RedCap</w:t>
      </w:r>
      <w:proofErr w:type="spellEnd"/>
      <w:r w:rsidRPr="00D2256E">
        <w:rPr>
          <w:rFonts w:eastAsia="宋体" w:cs="Times New Roman"/>
          <w:szCs w:val="20"/>
        </w:rPr>
        <w:t xml:space="preserve"> UE capability, e.g., SCS for DL control channel. For Rel-17 </w:t>
      </w:r>
      <w:proofErr w:type="spellStart"/>
      <w:r w:rsidRPr="00D2256E">
        <w:rPr>
          <w:rFonts w:eastAsia="宋体" w:cs="Times New Roman"/>
          <w:szCs w:val="20"/>
        </w:rPr>
        <w:t>feMIMO</w:t>
      </w:r>
      <w:proofErr w:type="spellEnd"/>
      <w:r w:rsidRPr="00D2256E">
        <w:rPr>
          <w:rFonts w:eastAsia="宋体" w:cs="Times New Roman"/>
          <w:szCs w:val="20"/>
        </w:rPr>
        <w:t xml:space="preserve">, at least the FGs exceeding </w:t>
      </w:r>
      <w:proofErr w:type="spellStart"/>
      <w:r w:rsidRPr="00D2256E">
        <w:rPr>
          <w:rFonts w:eastAsia="宋体" w:cs="Times New Roman"/>
          <w:szCs w:val="20"/>
        </w:rPr>
        <w:t>RedCap</w:t>
      </w:r>
      <w:proofErr w:type="spellEnd"/>
      <w:r w:rsidRPr="00D2256E">
        <w:rPr>
          <w:rFonts w:eastAsia="宋体" w:cs="Times New Roman"/>
          <w:szCs w:val="20"/>
        </w:rPr>
        <w:t xml:space="preserve"> UE capability should be excluded, e.g., 23-1-1c, 23-1-1e, 23-1-1f, 23-1-1g, 23-8-3, 23-8-9, 23-9-3.  </w:t>
      </w:r>
    </w:p>
    <w:p w:rsidR="00A156BF" w:rsidRPr="00D2256E" w:rsidRDefault="00AD5FE4">
      <w:pPr>
        <w:overflowPunct w:val="0"/>
        <w:autoSpaceDE w:val="0"/>
        <w:autoSpaceDN w:val="0"/>
        <w:adjustRightInd w:val="0"/>
        <w:spacing w:before="120" w:after="120"/>
        <w:textAlignment w:val="baseline"/>
        <w:rPr>
          <w:rFonts w:cs="Times New Roman"/>
          <w:i/>
          <w:szCs w:val="20"/>
          <w:lang w:bidi="ar"/>
        </w:rPr>
      </w:pPr>
      <w:r w:rsidRPr="00D2256E">
        <w:rPr>
          <w:rFonts w:eastAsia="宋体" w:cs="Times New Roman"/>
          <w:b/>
          <w:i/>
          <w:szCs w:val="20"/>
          <w:lang w:bidi="ar"/>
        </w:rPr>
        <w:t xml:space="preserve">Proposal </w:t>
      </w:r>
      <w:r w:rsidRPr="00D2256E">
        <w:rPr>
          <w:rFonts w:cs="Times New Roman"/>
          <w:b/>
          <w:i/>
          <w:szCs w:val="20"/>
          <w:lang w:bidi="ar"/>
        </w:rPr>
        <w:t>5</w:t>
      </w:r>
      <w:r w:rsidRPr="00D2256E">
        <w:rPr>
          <w:rFonts w:eastAsia="宋体" w:cs="Times New Roman"/>
          <w:b/>
          <w:i/>
          <w:szCs w:val="20"/>
          <w:lang w:bidi="ar"/>
        </w:rPr>
        <w:t xml:space="preserve">: </w:t>
      </w:r>
      <w:r w:rsidRPr="00D2256E">
        <w:rPr>
          <w:rFonts w:eastAsia="宋体" w:cs="Times New Roman"/>
          <w:i/>
          <w:szCs w:val="20"/>
          <w:lang w:bidi="ar"/>
        </w:rPr>
        <w:t xml:space="preserve">For </w:t>
      </w:r>
      <w:proofErr w:type="spellStart"/>
      <w:r w:rsidRPr="00D2256E">
        <w:rPr>
          <w:rFonts w:eastAsia="宋体" w:cs="Times New Roman"/>
          <w:i/>
          <w:szCs w:val="20"/>
          <w:lang w:bidi="ar"/>
        </w:rPr>
        <w:t>RedCap</w:t>
      </w:r>
      <w:proofErr w:type="spellEnd"/>
      <w:r w:rsidRPr="00D2256E">
        <w:rPr>
          <w:rFonts w:eastAsia="宋体" w:cs="Times New Roman"/>
          <w:i/>
          <w:szCs w:val="20"/>
          <w:lang w:bidi="ar"/>
        </w:rPr>
        <w:t xml:space="preserve"> UE, whether </w:t>
      </w:r>
      <w:r w:rsidRPr="00D2256E">
        <w:rPr>
          <w:rFonts w:cs="Times New Roman"/>
          <w:i/>
          <w:szCs w:val="20"/>
          <w:lang w:bidi="ar"/>
        </w:rPr>
        <w:t xml:space="preserve">to support </w:t>
      </w:r>
      <w:r w:rsidRPr="00D2256E">
        <w:rPr>
          <w:rFonts w:eastAsia="宋体" w:cs="Times New Roman"/>
          <w:i/>
          <w:szCs w:val="20"/>
          <w:lang w:bidi="ar"/>
        </w:rPr>
        <w:t>Rel-17 features also need</w:t>
      </w:r>
      <w:r w:rsidRPr="00D2256E">
        <w:rPr>
          <w:rFonts w:cs="Times New Roman"/>
          <w:i/>
          <w:szCs w:val="20"/>
          <w:lang w:bidi="ar"/>
        </w:rPr>
        <w:t>s</w:t>
      </w:r>
      <w:r w:rsidRPr="00D2256E">
        <w:rPr>
          <w:rFonts w:eastAsia="宋体" w:cs="Times New Roman"/>
          <w:i/>
          <w:szCs w:val="20"/>
          <w:lang w:bidi="ar"/>
        </w:rPr>
        <w:t xml:space="preserve"> to be determined</w:t>
      </w:r>
      <w:r w:rsidRPr="00D2256E">
        <w:rPr>
          <w:rFonts w:cs="Times New Roman"/>
          <w:i/>
          <w:szCs w:val="20"/>
          <w:lang w:bidi="ar"/>
        </w:rPr>
        <w:t>.</w:t>
      </w:r>
      <w:r w:rsidRPr="00D2256E">
        <w:rPr>
          <w:rFonts w:eastAsia="宋体" w:cs="Times New Roman"/>
          <w:i/>
          <w:szCs w:val="20"/>
          <w:lang w:bidi="ar"/>
        </w:rPr>
        <w:t xml:space="preserve">  </w:t>
      </w:r>
    </w:p>
    <w:p w:rsidR="00A156BF" w:rsidRPr="00D2256E" w:rsidRDefault="00AD5FE4">
      <w:pPr>
        <w:numPr>
          <w:ilvl w:val="0"/>
          <w:numId w:val="10"/>
        </w:numPr>
        <w:overflowPunct w:val="0"/>
        <w:autoSpaceDE w:val="0"/>
        <w:autoSpaceDN w:val="0"/>
        <w:adjustRightInd w:val="0"/>
        <w:spacing w:before="120" w:after="120"/>
        <w:textAlignment w:val="baseline"/>
        <w:rPr>
          <w:rFonts w:cs="Times New Roman"/>
          <w:i/>
          <w:szCs w:val="20"/>
        </w:rPr>
      </w:pPr>
      <w:r w:rsidRPr="00D2256E">
        <w:rPr>
          <w:rFonts w:eastAsia="宋体" w:cs="Times New Roman"/>
          <w:i/>
          <w:szCs w:val="20"/>
          <w:lang w:bidi="ar"/>
        </w:rPr>
        <w:t>The Rel-17</w:t>
      </w:r>
      <w:r w:rsidRPr="00D2256E">
        <w:rPr>
          <w:rFonts w:cs="Times New Roman"/>
          <w:i/>
          <w:szCs w:val="20"/>
          <w:lang w:bidi="ar"/>
        </w:rPr>
        <w:t xml:space="preserve"> </w:t>
      </w:r>
      <w:r w:rsidRPr="00D2256E">
        <w:rPr>
          <w:rFonts w:eastAsia="宋体" w:cs="Times New Roman"/>
          <w:i/>
          <w:szCs w:val="20"/>
          <w:lang w:bidi="ar"/>
        </w:rPr>
        <w:t>features for</w:t>
      </w:r>
      <w:r w:rsidRPr="00D2256E">
        <w:rPr>
          <w:rFonts w:cs="Times New Roman"/>
          <w:i/>
          <w:szCs w:val="20"/>
          <w:lang w:bidi="ar"/>
        </w:rPr>
        <w:t xml:space="preserve"> </w:t>
      </w:r>
      <w:proofErr w:type="spellStart"/>
      <w:r w:rsidRPr="00D2256E">
        <w:rPr>
          <w:rFonts w:eastAsia="宋体" w:cs="Times New Roman"/>
          <w:i/>
          <w:szCs w:val="20"/>
          <w:lang w:bidi="ar"/>
        </w:rPr>
        <w:t>eIAB</w:t>
      </w:r>
      <w:proofErr w:type="spellEnd"/>
      <w:r w:rsidRPr="00D2256E">
        <w:rPr>
          <w:rFonts w:eastAsia="宋体" w:cs="Times New Roman"/>
          <w:i/>
          <w:szCs w:val="20"/>
          <w:lang w:bidi="ar"/>
        </w:rPr>
        <w:t xml:space="preserve"> and NR DC/CA further enhancements should be excluded.</w:t>
      </w:r>
    </w:p>
    <w:p w:rsidR="00A156BF" w:rsidRPr="00D2256E" w:rsidRDefault="00AD5FE4">
      <w:pPr>
        <w:numPr>
          <w:ilvl w:val="0"/>
          <w:numId w:val="10"/>
        </w:numPr>
        <w:overflowPunct w:val="0"/>
        <w:autoSpaceDE w:val="0"/>
        <w:autoSpaceDN w:val="0"/>
        <w:adjustRightInd w:val="0"/>
        <w:spacing w:before="120" w:after="120"/>
        <w:textAlignment w:val="baseline"/>
        <w:rPr>
          <w:rFonts w:cs="Times New Roman"/>
        </w:rPr>
      </w:pPr>
      <w:r w:rsidRPr="00D2256E">
        <w:rPr>
          <w:rFonts w:eastAsia="宋体" w:cs="Times New Roman"/>
          <w:i/>
          <w:szCs w:val="20"/>
          <w:lang w:bidi="ar"/>
        </w:rPr>
        <w:t>The Rel-17</w:t>
      </w:r>
      <w:r w:rsidRPr="00D2256E">
        <w:rPr>
          <w:rFonts w:cs="Times New Roman"/>
          <w:i/>
          <w:szCs w:val="20"/>
          <w:lang w:bidi="ar"/>
        </w:rPr>
        <w:t xml:space="preserve"> </w:t>
      </w:r>
      <w:r w:rsidRPr="00D2256E">
        <w:rPr>
          <w:rFonts w:eastAsia="宋体" w:cs="Times New Roman"/>
          <w:i/>
          <w:szCs w:val="20"/>
          <w:lang w:bidi="ar"/>
        </w:rPr>
        <w:t xml:space="preserve">features for above-52GHz and </w:t>
      </w:r>
      <w:proofErr w:type="spellStart"/>
      <w:r w:rsidRPr="00D2256E">
        <w:rPr>
          <w:rFonts w:eastAsia="宋体" w:cs="Times New Roman"/>
          <w:i/>
          <w:szCs w:val="20"/>
          <w:lang w:bidi="ar"/>
        </w:rPr>
        <w:t>feMIMO</w:t>
      </w:r>
      <w:proofErr w:type="spellEnd"/>
      <w:r w:rsidRPr="00D2256E">
        <w:rPr>
          <w:rFonts w:eastAsia="宋体" w:cs="Times New Roman"/>
          <w:i/>
          <w:szCs w:val="20"/>
          <w:lang w:bidi="ar"/>
        </w:rPr>
        <w:t xml:space="preserve"> are not supported.</w:t>
      </w:r>
    </w:p>
    <w:p w:rsidR="00D2256E" w:rsidRPr="00D2256E" w:rsidRDefault="00D2256E" w:rsidP="00D2256E">
      <w:pPr>
        <w:overflowPunct w:val="0"/>
        <w:autoSpaceDE w:val="0"/>
        <w:autoSpaceDN w:val="0"/>
        <w:adjustRightInd w:val="0"/>
        <w:spacing w:before="120" w:after="120"/>
        <w:textAlignment w:val="baseline"/>
        <w:rPr>
          <w:rFonts w:cs="Times New Roman"/>
        </w:rPr>
      </w:pPr>
    </w:p>
    <w:p w:rsidR="00A156BF" w:rsidRDefault="00AD5FE4">
      <w:pPr>
        <w:pStyle w:val="2"/>
        <w:rPr>
          <w:lang w:val="en-US" w:eastAsia="zh-CN"/>
        </w:rPr>
      </w:pPr>
      <w:r>
        <w:rPr>
          <w:rFonts w:hint="eastAsia"/>
          <w:lang w:val="en-US" w:eastAsia="zh-CN"/>
        </w:rPr>
        <w:t xml:space="preserve">UE features for </w:t>
      </w:r>
      <w:r>
        <w:t>coverage enhancement</w:t>
      </w:r>
    </w:p>
    <w:p w:rsidR="00A156BF" w:rsidRDefault="00AD5FE4">
      <w:pPr>
        <w:spacing w:before="120"/>
        <w:rPr>
          <w:rFonts w:cs="Times New Roman"/>
          <w:szCs w:val="21"/>
        </w:rPr>
      </w:pPr>
      <w:r w:rsidRPr="00D2256E">
        <w:rPr>
          <w:rFonts w:cs="Times New Roman"/>
          <w:szCs w:val="21"/>
        </w:rPr>
        <w:t xml:space="preserve">For UE features for coverage enhancement WI, the main remaining issue is about reporting type for FGs related to DMRS bundling, i.e., FGs </w:t>
      </w:r>
      <w:r w:rsidRPr="00D2256E">
        <w:rPr>
          <w:rFonts w:eastAsia="宋体" w:cs="Times New Roman"/>
          <w:szCs w:val="20"/>
        </w:rPr>
        <w:t>30-4a~h</w:t>
      </w:r>
      <w:r w:rsidRPr="00D2256E">
        <w:rPr>
          <w:rFonts w:cs="Times New Roman"/>
          <w:szCs w:val="21"/>
        </w:rPr>
        <w:t xml:space="preserve">. This depends on whether/how to support DMRS bundling for CA/DC/SUL. As discussed in our companion contribution [6], we don’t see any RAN1 impact for support of DMRS bundling for CA/DC/SUL, and the following proposal is suggested for related FGs. </w:t>
      </w:r>
    </w:p>
    <w:p w:rsidR="00D2256E" w:rsidRPr="00D2256E" w:rsidRDefault="00D2256E">
      <w:pPr>
        <w:spacing w:before="120"/>
        <w:rPr>
          <w:rFonts w:cs="Times New Roman"/>
          <w:szCs w:val="21"/>
        </w:rPr>
      </w:pPr>
    </w:p>
    <w:p w:rsidR="00A156BF" w:rsidRPr="00D2256E" w:rsidRDefault="00AD5FE4">
      <w:pPr>
        <w:spacing w:before="120"/>
        <w:rPr>
          <w:rFonts w:cs="Times New Roman"/>
          <w:i/>
          <w:iCs/>
          <w:szCs w:val="21"/>
        </w:rPr>
      </w:pPr>
      <w:r w:rsidRPr="00D2256E">
        <w:rPr>
          <w:rFonts w:cs="Times New Roman"/>
          <w:b/>
          <w:bCs/>
          <w:i/>
          <w:iCs/>
          <w:szCs w:val="21"/>
        </w:rPr>
        <w:t xml:space="preserve">Proposal 6: </w:t>
      </w:r>
      <w:r w:rsidRPr="00D2256E">
        <w:rPr>
          <w:rFonts w:cs="Times New Roman"/>
          <w:i/>
          <w:iCs/>
          <w:szCs w:val="21"/>
        </w:rPr>
        <w:t xml:space="preserve">For DMRS bundling related FGs, adopt the following changes.   </w:t>
      </w:r>
    </w:p>
    <w:p w:rsidR="00A156BF" w:rsidRPr="00D2256E" w:rsidRDefault="00AD5FE4">
      <w:pPr>
        <w:numPr>
          <w:ilvl w:val="0"/>
          <w:numId w:val="11"/>
        </w:numPr>
        <w:spacing w:before="120" w:line="280" w:lineRule="atLeast"/>
        <w:rPr>
          <w:rFonts w:cs="Times New Roman"/>
          <w:i/>
          <w:iCs/>
        </w:rPr>
      </w:pPr>
      <w:r w:rsidRPr="00D2256E">
        <w:rPr>
          <w:rFonts w:cs="Times New Roman"/>
          <w:i/>
          <w:iCs/>
        </w:rPr>
        <w:t>Add the following note for UE FG 30-4a, 4b, 4c, and 4d (the four back-to-back cases):</w:t>
      </w:r>
    </w:p>
    <w:tbl>
      <w:tblPr>
        <w:tblStyle w:val="af4"/>
        <w:tblW w:w="0" w:type="auto"/>
        <w:tblLook w:val="04A0" w:firstRow="1" w:lastRow="0" w:firstColumn="1" w:lastColumn="0" w:noHBand="0" w:noVBand="1"/>
      </w:tblPr>
      <w:tblGrid>
        <w:gridCol w:w="9628"/>
      </w:tblGrid>
      <w:tr w:rsidR="00A156BF" w:rsidRPr="00D2256E">
        <w:tc>
          <w:tcPr>
            <w:tcW w:w="9854" w:type="dxa"/>
          </w:tcPr>
          <w:p w:rsidR="00A156BF" w:rsidRPr="00D2256E" w:rsidRDefault="00AD5FE4">
            <w:pPr>
              <w:spacing w:before="120"/>
              <w:ind w:firstLine="280"/>
              <w:rPr>
                <w:rFonts w:cs="Times New Roman"/>
                <w:i/>
                <w:iCs/>
              </w:rPr>
            </w:pPr>
            <w:r w:rsidRPr="00D2256E">
              <w:rPr>
                <w:rFonts w:cs="Times New Roman"/>
                <w:i/>
                <w:iCs/>
              </w:rPr>
              <w:t>Note: This capability is applicable in the following multi-carrier scenarios:</w:t>
            </w:r>
          </w:p>
          <w:p w:rsidR="00A156BF" w:rsidRPr="00D2256E" w:rsidRDefault="00AD5FE4">
            <w:pPr>
              <w:numPr>
                <w:ilvl w:val="0"/>
                <w:numId w:val="12"/>
              </w:numPr>
              <w:spacing w:before="120"/>
              <w:ind w:left="840"/>
              <w:rPr>
                <w:rFonts w:cs="Times New Roman"/>
                <w:i/>
                <w:iCs/>
              </w:rPr>
            </w:pPr>
            <w:r w:rsidRPr="00D2256E">
              <w:rPr>
                <w:rFonts w:cs="Times New Roman"/>
                <w:i/>
                <w:iCs/>
              </w:rPr>
              <w:t xml:space="preserve">  FR1+FR2 CA/DC with one band on FR1 and another band on FR2. DMRS bundling configuration is limited to one uplink NR carrier in total on all FRs at a time.</w:t>
            </w:r>
          </w:p>
          <w:p w:rsidR="00A156BF" w:rsidRPr="00D2256E" w:rsidRDefault="00AD5FE4">
            <w:pPr>
              <w:numPr>
                <w:ilvl w:val="0"/>
                <w:numId w:val="12"/>
              </w:numPr>
              <w:spacing w:before="120"/>
              <w:ind w:left="840"/>
              <w:rPr>
                <w:rFonts w:cs="Times New Roman"/>
                <w:i/>
                <w:iCs/>
                <w:color w:val="000000"/>
              </w:rPr>
            </w:pPr>
            <w:r w:rsidRPr="00D2256E">
              <w:rPr>
                <w:rFonts w:cs="Times New Roman"/>
                <w:i/>
                <w:iCs/>
              </w:rPr>
              <w:t>FR1 inter-band DL CA with a ‘single’ uplink band configured</w:t>
            </w:r>
          </w:p>
          <w:p w:rsidR="00A156BF" w:rsidRPr="00D2256E" w:rsidRDefault="00AD5FE4">
            <w:pPr>
              <w:numPr>
                <w:ilvl w:val="0"/>
                <w:numId w:val="12"/>
              </w:numPr>
              <w:spacing w:before="120"/>
              <w:ind w:left="840"/>
              <w:rPr>
                <w:rFonts w:cs="Times New Roman"/>
                <w:i/>
                <w:iCs/>
                <w:color w:val="000000"/>
              </w:rPr>
            </w:pPr>
            <w:r w:rsidRPr="00D2256E">
              <w:rPr>
                <w:rFonts w:cs="Times New Roman"/>
                <w:i/>
                <w:iCs/>
              </w:rPr>
              <w:t>DL CA with ‘additional’ UL carrier configured with SRS only</w:t>
            </w:r>
          </w:p>
          <w:p w:rsidR="00A156BF" w:rsidRPr="00D2256E" w:rsidRDefault="00AD5FE4">
            <w:pPr>
              <w:numPr>
                <w:ilvl w:val="0"/>
                <w:numId w:val="12"/>
              </w:numPr>
              <w:spacing w:before="120"/>
              <w:ind w:left="840"/>
              <w:rPr>
                <w:rFonts w:cs="Times New Roman"/>
                <w:i/>
                <w:iCs/>
                <w:color w:val="000000"/>
              </w:rPr>
            </w:pPr>
            <w:r w:rsidRPr="00D2256E">
              <w:rPr>
                <w:rFonts w:cs="Times New Roman"/>
                <w:i/>
                <w:iCs/>
              </w:rPr>
              <w:t>SUL, where UE does not expect concurrent uplink transmissions on two carriers in case of SRS on an SUL/non-SUL carrier and PUSCH/PUCCH/SRS on the other UL carrier in the same cell</w:t>
            </w:r>
          </w:p>
          <w:p w:rsidR="00A156BF" w:rsidRPr="00D2256E" w:rsidRDefault="00AD5FE4">
            <w:pPr>
              <w:numPr>
                <w:ilvl w:val="0"/>
                <w:numId w:val="12"/>
              </w:numPr>
              <w:spacing w:before="120"/>
              <w:ind w:left="840"/>
              <w:rPr>
                <w:rFonts w:cs="Times New Roman"/>
                <w:i/>
                <w:iCs/>
                <w:color w:val="000000"/>
              </w:rPr>
            </w:pPr>
            <w:r w:rsidRPr="00D2256E">
              <w:rPr>
                <w:rFonts w:cs="Times New Roman"/>
                <w:i/>
                <w:iCs/>
              </w:rPr>
              <w:t>FR1+FR1 inter-band CA involving two or more FR1 bands, where UE does not expect concurrent uplink transmissions on two carriers</w:t>
            </w:r>
          </w:p>
          <w:p w:rsidR="00A156BF" w:rsidRPr="00D2256E" w:rsidRDefault="00AD5FE4">
            <w:pPr>
              <w:numPr>
                <w:ilvl w:val="1"/>
                <w:numId w:val="12"/>
              </w:numPr>
              <w:spacing w:before="120"/>
              <w:ind w:left="1260"/>
              <w:rPr>
                <w:rFonts w:cs="Times New Roman"/>
                <w:i/>
                <w:iCs/>
              </w:rPr>
            </w:pPr>
            <w:r w:rsidRPr="00D2256E">
              <w:rPr>
                <w:rFonts w:cs="Times New Roman"/>
                <w:i/>
                <w:iCs/>
              </w:rPr>
              <w:t>Only configuration of a single TAG is supported.</w:t>
            </w:r>
          </w:p>
        </w:tc>
      </w:tr>
    </w:tbl>
    <w:p w:rsidR="00A156BF" w:rsidRPr="00D2256E" w:rsidRDefault="00AD5FE4">
      <w:pPr>
        <w:numPr>
          <w:ilvl w:val="0"/>
          <w:numId w:val="11"/>
        </w:numPr>
        <w:spacing w:before="120" w:line="280" w:lineRule="atLeast"/>
        <w:rPr>
          <w:rFonts w:cs="Times New Roman"/>
          <w:i/>
          <w:iCs/>
        </w:rPr>
      </w:pPr>
      <w:r w:rsidRPr="00D2256E">
        <w:rPr>
          <w:rFonts w:cs="Times New Roman"/>
          <w:i/>
          <w:iCs/>
        </w:rPr>
        <w:t>Add the following note for FG 30-4h (non-back-to-back case):</w:t>
      </w:r>
    </w:p>
    <w:tbl>
      <w:tblPr>
        <w:tblStyle w:val="af4"/>
        <w:tblW w:w="0" w:type="auto"/>
        <w:tblLook w:val="04A0" w:firstRow="1" w:lastRow="0" w:firstColumn="1" w:lastColumn="0" w:noHBand="0" w:noVBand="1"/>
      </w:tblPr>
      <w:tblGrid>
        <w:gridCol w:w="9628"/>
      </w:tblGrid>
      <w:tr w:rsidR="00A156BF" w:rsidRPr="00D2256E">
        <w:tc>
          <w:tcPr>
            <w:tcW w:w="9854" w:type="dxa"/>
          </w:tcPr>
          <w:p w:rsidR="00A156BF" w:rsidRPr="00D2256E" w:rsidRDefault="00AD5FE4">
            <w:pPr>
              <w:spacing w:before="120"/>
              <w:rPr>
                <w:rFonts w:cs="Times New Roman"/>
                <w:i/>
                <w:iCs/>
              </w:rPr>
            </w:pPr>
            <w:r w:rsidRPr="00D2256E">
              <w:rPr>
                <w:rFonts w:cs="Times New Roman"/>
                <w:i/>
                <w:iCs/>
              </w:rPr>
              <w:t>Note: This capability is only applicable when UE is configured with single uplink carrier.</w:t>
            </w:r>
          </w:p>
        </w:tc>
      </w:tr>
    </w:tbl>
    <w:p w:rsidR="00A156BF" w:rsidRDefault="00A156BF">
      <w:pPr>
        <w:spacing w:before="120"/>
      </w:pPr>
    </w:p>
    <w:p w:rsidR="00A156BF" w:rsidRPr="00D2256E" w:rsidRDefault="00AD5FE4">
      <w:pPr>
        <w:spacing w:before="120"/>
        <w:rPr>
          <w:rFonts w:cs="Times New Roman"/>
        </w:rPr>
      </w:pPr>
      <w:r w:rsidRPr="00D2256E">
        <w:rPr>
          <w:rFonts w:cs="Times New Roman"/>
        </w:rPr>
        <w:t xml:space="preserve">With support of DMRS bundling for multi-carrier operation, we think per band and band combination reporting as discussed in RAN1#109-e and RAN1#110 is a good compromise. </w:t>
      </w:r>
    </w:p>
    <w:p w:rsidR="00A156BF" w:rsidRDefault="00AD5FE4" w:rsidP="00D2256E">
      <w:pPr>
        <w:pStyle w:val="a"/>
        <w:numPr>
          <w:ilvl w:val="0"/>
          <w:numId w:val="0"/>
        </w:numPr>
        <w:spacing w:before="120"/>
        <w:rPr>
          <w:rFonts w:eastAsia="宋体"/>
          <w:b/>
          <w:bCs/>
          <w:i/>
          <w:iCs/>
          <w:szCs w:val="20"/>
          <w:lang w:val="en-US"/>
        </w:rPr>
      </w:pPr>
      <w:r>
        <w:rPr>
          <w:rFonts w:eastAsia="宋体" w:cs="Times New Roman" w:hint="eastAsia"/>
          <w:b/>
          <w:bCs/>
          <w:i/>
          <w:iCs/>
          <w:szCs w:val="20"/>
        </w:rPr>
        <w:t xml:space="preserve">Proposal </w:t>
      </w:r>
      <w:r>
        <w:rPr>
          <w:rFonts w:eastAsia="宋体" w:cs="Times New Roman" w:hint="eastAsia"/>
          <w:b/>
          <w:bCs/>
          <w:i/>
          <w:iCs/>
          <w:szCs w:val="20"/>
          <w:lang w:val="en-US"/>
        </w:rPr>
        <w:t>7</w:t>
      </w:r>
      <w:r>
        <w:rPr>
          <w:rFonts w:eastAsia="宋体" w:cs="Times New Roman" w:hint="eastAsia"/>
          <w:b/>
          <w:bCs/>
          <w:i/>
          <w:iCs/>
          <w:szCs w:val="20"/>
        </w:rPr>
        <w:t xml:space="preserve">: </w:t>
      </w:r>
      <w:r>
        <w:rPr>
          <w:rFonts w:eastAsia="宋体" w:cs="Times New Roman" w:hint="eastAsia"/>
          <w:i/>
          <w:iCs/>
          <w:szCs w:val="20"/>
          <w:lang w:val="en-US"/>
        </w:rPr>
        <w:t>Reporting type of FGs 30-4a/b/c/d/g/h is per band and per BC.</w:t>
      </w:r>
    </w:p>
    <w:p w:rsidR="00D2256E" w:rsidRDefault="00D2256E">
      <w:pPr>
        <w:spacing w:before="120"/>
      </w:pPr>
    </w:p>
    <w:p w:rsidR="00A156BF" w:rsidRPr="00D2256E" w:rsidRDefault="00AD5FE4">
      <w:pPr>
        <w:spacing w:before="120"/>
        <w:rPr>
          <w:rFonts w:cs="Times New Roman"/>
        </w:rPr>
      </w:pPr>
      <w:r w:rsidRPr="00D2256E">
        <w:rPr>
          <w:rFonts w:cs="Times New Roman"/>
        </w:rPr>
        <w:t xml:space="preserve">For FG 30-4e and 30-4f, we think per UE reporting is sufficient similar as Rel-15 FG 5-10 for inter-slot hopping for PUSCH. </w:t>
      </w:r>
    </w:p>
    <w:p w:rsidR="00A156BF" w:rsidRPr="00D2256E" w:rsidRDefault="00AD5FE4">
      <w:pPr>
        <w:pStyle w:val="a"/>
        <w:numPr>
          <w:ilvl w:val="0"/>
          <w:numId w:val="0"/>
        </w:numPr>
        <w:spacing w:before="120"/>
        <w:rPr>
          <w:rFonts w:cs="Times New Roman"/>
          <w:highlight w:val="yellow"/>
          <w:lang w:val="en-US"/>
        </w:rPr>
      </w:pPr>
      <w:r w:rsidRPr="00D2256E">
        <w:rPr>
          <w:rFonts w:eastAsia="宋体" w:cs="Times New Roman"/>
          <w:b/>
          <w:bCs/>
          <w:i/>
          <w:iCs/>
          <w:szCs w:val="20"/>
        </w:rPr>
        <w:t xml:space="preserve">Proposal </w:t>
      </w:r>
      <w:r w:rsidRPr="00D2256E">
        <w:rPr>
          <w:rFonts w:eastAsia="宋体" w:cs="Times New Roman"/>
          <w:b/>
          <w:bCs/>
          <w:i/>
          <w:iCs/>
          <w:szCs w:val="20"/>
          <w:lang w:val="en-US"/>
        </w:rPr>
        <w:t>8</w:t>
      </w:r>
      <w:r w:rsidRPr="00D2256E">
        <w:rPr>
          <w:rFonts w:eastAsia="宋体" w:cs="Times New Roman"/>
          <w:b/>
          <w:bCs/>
          <w:i/>
          <w:iCs/>
          <w:szCs w:val="20"/>
        </w:rPr>
        <w:t>:</w:t>
      </w:r>
      <w:r w:rsidRPr="00D2256E">
        <w:rPr>
          <w:rFonts w:eastAsia="宋体" w:cs="Times New Roman"/>
          <w:i/>
          <w:iCs/>
          <w:szCs w:val="20"/>
        </w:rPr>
        <w:t xml:space="preserve"> </w:t>
      </w:r>
      <w:r w:rsidRPr="00D2256E">
        <w:rPr>
          <w:rFonts w:eastAsia="宋体" w:cs="Times New Roman"/>
          <w:i/>
          <w:iCs/>
          <w:szCs w:val="20"/>
          <w:lang w:val="en-US"/>
        </w:rPr>
        <w:t>Reporting type of FGs 30-4e/f is per UE.</w:t>
      </w:r>
    </w:p>
    <w:p w:rsidR="00A156BF" w:rsidRDefault="00AD5FE4">
      <w:pPr>
        <w:pStyle w:val="2"/>
        <w:rPr>
          <w:lang w:val="en-US" w:eastAsia="zh-CN"/>
        </w:rPr>
      </w:pPr>
      <w:r>
        <w:rPr>
          <w:rFonts w:hint="eastAsia"/>
          <w:lang w:val="en-US" w:eastAsia="zh-CN"/>
        </w:rPr>
        <w:lastRenderedPageBreak/>
        <w:t>UE features for M</w:t>
      </w:r>
      <w:r>
        <w:rPr>
          <w:lang w:val="en-US" w:eastAsia="zh-CN"/>
        </w:rPr>
        <w:t>BS</w:t>
      </w:r>
    </w:p>
    <w:p w:rsidR="00A156BF" w:rsidRPr="00D2256E" w:rsidRDefault="00AD5FE4">
      <w:pPr>
        <w:spacing w:before="120"/>
        <w:rPr>
          <w:rFonts w:cs="Times New Roman"/>
        </w:rPr>
      </w:pPr>
      <w:r w:rsidRPr="00D2256E">
        <w:rPr>
          <w:rFonts w:cs="Times New Roman"/>
        </w:rPr>
        <w:t>In RAN1#110 meeting, MBS UE feature discussion has reached a good progress. However, there are still lots of remaining issues especially on the report type for MBS UE features.</w:t>
      </w:r>
    </w:p>
    <w:p w:rsidR="00A156BF" w:rsidRPr="00D2256E" w:rsidRDefault="00A156BF">
      <w:pPr>
        <w:spacing w:before="120"/>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82"/>
        <w:gridCol w:w="1831"/>
        <w:gridCol w:w="2869"/>
        <w:gridCol w:w="729"/>
        <w:gridCol w:w="478"/>
        <w:gridCol w:w="222"/>
        <w:gridCol w:w="222"/>
        <w:gridCol w:w="724"/>
        <w:gridCol w:w="556"/>
        <w:gridCol w:w="556"/>
      </w:tblGrid>
      <w:tr w:rsidR="00A156BF">
        <w:trPr>
          <w:trHeight w:val="20"/>
        </w:trPr>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kern w:val="0"/>
                <w:szCs w:val="20"/>
                <w:lang w:eastAsia="ja-JP"/>
              </w:rPr>
            </w:pPr>
            <w:bookmarkStart w:id="5" w:name="_Hlk115083386"/>
            <w:r>
              <w:rPr>
                <w:rFonts w:ascii="Times New Roman" w:hAnsi="Times New Roman"/>
                <w:szCs w:val="20"/>
                <w:lang w:eastAsia="ja-JP"/>
              </w:rPr>
              <w:t>33. NR_MBS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33-3-3</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Intra-slot TDM-ed unicast PDSCH and group-common PDSCH</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rFonts w:eastAsia="MS Gothic"/>
                <w:sz w:val="18"/>
                <w:szCs w:val="20"/>
                <w:lang w:eastAsia="ja-JP"/>
              </w:rPr>
            </w:pPr>
            <w:r>
              <w:rPr>
                <w:sz w:val="18"/>
                <w:szCs w:val="20"/>
              </w:rPr>
              <w:t xml:space="preserve">1. Support TDM between one unicast PDSCH and one group-common PDSCH in a slot. </w:t>
            </w:r>
          </w:p>
          <w:p w:rsidR="00A156BF" w:rsidRDefault="00AD5FE4">
            <w:pPr>
              <w:autoSpaceDE w:val="0"/>
              <w:autoSpaceDN w:val="0"/>
              <w:adjustRightInd w:val="0"/>
              <w:spacing w:before="120"/>
              <w:contextualSpacing/>
              <w:rPr>
                <w:sz w:val="18"/>
                <w:szCs w:val="20"/>
              </w:rPr>
            </w:pPr>
            <w:r>
              <w:rPr>
                <w:sz w:val="18"/>
                <w:szCs w:val="20"/>
              </w:rPr>
              <w:t xml:space="preserve">2. Support TDM between M (M&gt;1) </w:t>
            </w:r>
            <w:proofErr w:type="spellStart"/>
            <w:r>
              <w:rPr>
                <w:sz w:val="18"/>
                <w:szCs w:val="20"/>
              </w:rPr>
              <w:t>TDMed</w:t>
            </w:r>
            <w:proofErr w:type="spellEnd"/>
            <w:r>
              <w:rPr>
                <w:sz w:val="18"/>
                <w:szCs w:val="20"/>
              </w:rPr>
              <w:t xml:space="preserve"> unicast PDSCHs and one group-common PDSCH in a slot per CC</w:t>
            </w:r>
          </w:p>
          <w:p w:rsidR="00A156BF" w:rsidRDefault="00AD5FE4">
            <w:pPr>
              <w:autoSpaceDE w:val="0"/>
              <w:autoSpaceDN w:val="0"/>
              <w:adjustRightInd w:val="0"/>
              <w:spacing w:before="120"/>
              <w:rPr>
                <w:sz w:val="18"/>
                <w:szCs w:val="20"/>
              </w:rPr>
            </w:pPr>
            <w:r>
              <w:rPr>
                <w:sz w:val="18"/>
                <w:szCs w:val="20"/>
              </w:rPr>
              <w:t>3. Support TDM among N (N&gt;1) group-common PDSCHs in a slot per CC</w:t>
            </w:r>
          </w:p>
          <w:p w:rsidR="00A156BF" w:rsidRDefault="00AD5FE4">
            <w:pPr>
              <w:autoSpaceDE w:val="0"/>
              <w:autoSpaceDN w:val="0"/>
              <w:adjustRightInd w:val="0"/>
              <w:spacing w:before="120"/>
              <w:rPr>
                <w:sz w:val="18"/>
                <w:szCs w:val="20"/>
              </w:rPr>
            </w:pPr>
            <w:r>
              <w:rPr>
                <w:sz w:val="18"/>
                <w:szCs w:val="20"/>
              </w:rPr>
              <w:t xml:space="preserve">4. Support TDM between K (K&gt;1) </w:t>
            </w:r>
            <w:proofErr w:type="spellStart"/>
            <w:r>
              <w:rPr>
                <w:sz w:val="18"/>
                <w:szCs w:val="20"/>
              </w:rPr>
              <w:t>TDMed</w:t>
            </w:r>
            <w:proofErr w:type="spellEnd"/>
            <w:r>
              <w:rPr>
                <w:sz w:val="18"/>
                <w:szCs w:val="20"/>
              </w:rPr>
              <w:t xml:space="preserve"> unicast PDSCHs and L (L&gt;1) </w:t>
            </w:r>
            <w:proofErr w:type="spellStart"/>
            <w:r>
              <w:rPr>
                <w:sz w:val="18"/>
                <w:szCs w:val="20"/>
              </w:rPr>
              <w:t>TDMed</w:t>
            </w:r>
            <w:proofErr w:type="spellEnd"/>
            <w:r>
              <w:rPr>
                <w:sz w:val="18"/>
                <w:szCs w:val="20"/>
              </w:rPr>
              <w:t xml:space="preserve"> group-common PDSCHs in a slot per CC</w:t>
            </w:r>
          </w:p>
          <w:p w:rsidR="00A156BF" w:rsidRDefault="00AD5FE4">
            <w:pPr>
              <w:autoSpaceDE w:val="0"/>
              <w:autoSpaceDN w:val="0"/>
              <w:adjustRightInd w:val="0"/>
              <w:spacing w:before="120"/>
              <w:rPr>
                <w:sz w:val="18"/>
                <w:szCs w:val="20"/>
              </w:rPr>
            </w:pPr>
            <w:r>
              <w:rPr>
                <w:sz w:val="18"/>
                <w:szCs w:val="20"/>
              </w:rPr>
              <w:t xml:space="preserve">5. The UE maximum number of </w:t>
            </w:r>
            <w:proofErr w:type="spellStart"/>
            <w:r>
              <w:rPr>
                <w:sz w:val="18"/>
                <w:szCs w:val="20"/>
              </w:rPr>
              <w:t>TDMed</w:t>
            </w:r>
            <w:proofErr w:type="spellEnd"/>
            <w:r>
              <w:rPr>
                <w:sz w:val="18"/>
                <w:szCs w:val="20"/>
              </w:rPr>
              <w:t xml:space="preserve"> PDSCH receptions capability in a slot per CC is kept as for Rel-15/Rel-16, i.e., {2/4/7} based on UE FG5-11/5-11a/5-11b.</w:t>
            </w:r>
          </w:p>
          <w:p w:rsidR="00A156BF" w:rsidRDefault="00AD5FE4">
            <w:pPr>
              <w:pStyle w:val="a"/>
              <w:numPr>
                <w:ilvl w:val="1"/>
                <w:numId w:val="13"/>
              </w:numPr>
              <w:autoSpaceDE w:val="0"/>
              <w:autoSpaceDN w:val="0"/>
              <w:adjustRightInd w:val="0"/>
              <w:spacing w:before="120" w:after="0"/>
              <w:contextualSpacing/>
              <w:rPr>
                <w:sz w:val="18"/>
                <w:szCs w:val="20"/>
              </w:rPr>
            </w:pPr>
            <w:r>
              <w:rPr>
                <w:sz w:val="18"/>
                <w:szCs w:val="20"/>
              </w:rPr>
              <w:t>Note:  Group-common PDSCH(s) are counted as unicast PDSCH(s).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Gothic" w:hAnsi="Times New Roman"/>
                <w:szCs w:val="20"/>
                <w:lang w:eastAsia="ja-JP"/>
              </w:rPr>
            </w:pPr>
            <w:r>
              <w:rPr>
                <w:rFonts w:ascii="Times New Roman" w:hAnsi="Times New Roman"/>
                <w:szCs w:val="20"/>
                <w:lang w:eastAsia="ja-JP"/>
              </w:rPr>
              <w:t>33-1 or 33-2</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20"/>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20"/>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lang w:eastAsia="ja-JP"/>
              </w:rPr>
            </w:pPr>
            <w:r>
              <w:rPr>
                <w:rFonts w:ascii="Times New Roman" w:hAnsi="Times New Roman"/>
                <w:szCs w:val="20"/>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lang w:eastAsia="en-US"/>
              </w:rPr>
            </w:pPr>
            <w:r>
              <w:rPr>
                <w:rFonts w:ascii="Times New Roman" w:hAnsi="Times New Roman"/>
                <w:szCs w:val="20"/>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[No]</w:t>
            </w:r>
          </w:p>
        </w:tc>
      </w:tr>
      <w:tr w:rsidR="00A156BF">
        <w:trPr>
          <w:trHeight w:val="20"/>
        </w:trPr>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lang w:eastAsia="ja-JP"/>
              </w:rPr>
            </w:pPr>
            <w:r>
              <w:rPr>
                <w:rFonts w:ascii="Times New Roman" w:hAnsi="Times New Roman"/>
                <w:szCs w:val="20"/>
                <w:lang w:eastAsia="ja-JP"/>
              </w:rPr>
              <w:t>33. NR_MBS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33-3-3a</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FDM-ed Type-1 and Type-2 HARQ-ACK codebooks for multiplexing HARQ-ACK for unicast and HARQ-ACK for multicast</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rFonts w:eastAsia="MS Gothic"/>
                <w:sz w:val="18"/>
                <w:szCs w:val="20"/>
                <w:lang w:eastAsia="ja-JP"/>
              </w:rPr>
            </w:pPr>
            <w:r>
              <w:rPr>
                <w:sz w:val="18"/>
                <w:szCs w:val="20"/>
              </w:rPr>
              <w:t>Support of FDM-ed Type-1 and Type-2 HARQ-ACK codebooks for multiplexing HARQ-ACK for unicast and HARQ-ACK for multicast</w:t>
            </w:r>
          </w:p>
          <w:p w:rsidR="00A156BF" w:rsidRDefault="00AD5FE4">
            <w:pPr>
              <w:autoSpaceDE w:val="0"/>
              <w:autoSpaceDN w:val="0"/>
              <w:adjustRightInd w:val="0"/>
              <w:spacing w:before="120"/>
              <w:contextualSpacing/>
              <w:rPr>
                <w:sz w:val="18"/>
                <w:szCs w:val="20"/>
              </w:rPr>
            </w:pPr>
            <w:r>
              <w:rPr>
                <w:sz w:val="18"/>
                <w:szCs w:val="20"/>
                <w:highlight w:val="yellow"/>
              </w:rPr>
              <w:t>FFS value of X G-RNTIs</w:t>
            </w:r>
          </w:p>
          <w:p w:rsidR="00A156BF" w:rsidRDefault="00A156BF">
            <w:pPr>
              <w:autoSpaceDE w:val="0"/>
              <w:autoSpaceDN w:val="0"/>
              <w:adjustRightInd w:val="0"/>
              <w:spacing w:before="120"/>
              <w:contextualSpacing/>
              <w:rPr>
                <w:sz w:val="18"/>
                <w:szCs w:val="20"/>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20"/>
                <w:highlight w:val="cyan"/>
                <w:lang w:eastAsia="ja-JP"/>
              </w:rPr>
            </w:pPr>
            <w:r>
              <w:rPr>
                <w:rFonts w:ascii="Times New Roman" w:eastAsia="MS Mincho" w:hAnsi="Times New Roman"/>
                <w:szCs w:val="20"/>
                <w:highlight w:val="yellow"/>
                <w:lang w:eastAsia="ja-JP"/>
              </w:rPr>
              <w:t>[TBD]</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20"/>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20"/>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[No]</w:t>
            </w:r>
          </w:p>
        </w:tc>
      </w:tr>
      <w:tr w:rsidR="00A156BF">
        <w:trPr>
          <w:trHeight w:val="20"/>
        </w:trPr>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lang w:eastAsia="ja-JP"/>
              </w:rPr>
            </w:pPr>
            <w:r>
              <w:rPr>
                <w:rFonts w:ascii="Times New Roman" w:hAnsi="Times New Roman"/>
                <w:szCs w:val="20"/>
                <w:lang w:eastAsia="ja-JP"/>
              </w:rPr>
              <w:t>33. NR_MBS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33-3-3b</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Mode 2 TDM-ed Type-1 and Type-2 HARQ-ACK codebook for multiplexing HARQ-ACK for unicast and HARQ-ACK for multicast</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rFonts w:eastAsia="MS Gothic"/>
                <w:sz w:val="18"/>
                <w:szCs w:val="20"/>
                <w:lang w:eastAsia="ja-JP"/>
              </w:rPr>
            </w:pPr>
            <w:r>
              <w:rPr>
                <w:sz w:val="18"/>
                <w:szCs w:val="20"/>
              </w:rPr>
              <w:t>Support of Mode 2 TDM-ed Type-1 and Type-2 HARQ-ACK codebook for multiplexing HARQ-ACK for unicast and HARQ-ACK for multicast</w:t>
            </w:r>
          </w:p>
          <w:p w:rsidR="00A156BF" w:rsidRDefault="00AD5FE4">
            <w:pPr>
              <w:autoSpaceDE w:val="0"/>
              <w:autoSpaceDN w:val="0"/>
              <w:adjustRightInd w:val="0"/>
              <w:spacing w:before="120"/>
              <w:contextualSpacing/>
              <w:rPr>
                <w:sz w:val="18"/>
                <w:szCs w:val="20"/>
              </w:rPr>
            </w:pPr>
            <w:r>
              <w:rPr>
                <w:sz w:val="18"/>
                <w:szCs w:val="20"/>
                <w:highlight w:val="yellow"/>
              </w:rPr>
              <w:t>FFS value of X G-RNTIs</w:t>
            </w:r>
          </w:p>
          <w:p w:rsidR="00A156BF" w:rsidRDefault="00A156BF">
            <w:pPr>
              <w:autoSpaceDE w:val="0"/>
              <w:autoSpaceDN w:val="0"/>
              <w:adjustRightInd w:val="0"/>
              <w:spacing w:before="120"/>
              <w:contextualSpacing/>
              <w:rPr>
                <w:sz w:val="18"/>
                <w:szCs w:val="20"/>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20"/>
                <w:highlight w:val="cyan"/>
                <w:lang w:eastAsia="ja-JP"/>
              </w:rPr>
            </w:pPr>
            <w:r>
              <w:rPr>
                <w:rFonts w:ascii="Times New Roman" w:eastAsia="MS Mincho" w:hAnsi="Times New Roman"/>
                <w:szCs w:val="20"/>
                <w:highlight w:val="yellow"/>
                <w:lang w:eastAsia="ja-JP"/>
              </w:rPr>
              <w:t>[TBD]</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20"/>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20"/>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[No]</w:t>
            </w:r>
          </w:p>
        </w:tc>
      </w:tr>
      <w:tr w:rsidR="00A156BF">
        <w:trPr>
          <w:trHeight w:val="20"/>
        </w:trPr>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lang w:eastAsia="ja-JP"/>
              </w:rPr>
            </w:pPr>
            <w:r>
              <w:rPr>
                <w:rFonts w:ascii="Times New Roman" w:hAnsi="Times New Roman"/>
                <w:szCs w:val="20"/>
                <w:lang w:eastAsia="ja-JP"/>
              </w:rPr>
              <w:t>33. NR_MBS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33-3-4</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Mode 1 for type1 codebook generation</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rFonts w:eastAsia="MS Gothic"/>
                <w:sz w:val="18"/>
                <w:szCs w:val="20"/>
                <w:lang w:eastAsia="ja-JP"/>
              </w:rPr>
            </w:pPr>
            <w:r>
              <w:rPr>
                <w:sz w:val="18"/>
                <w:szCs w:val="20"/>
              </w:rPr>
              <w:t>Supports type1-Codebook-Generation-Mode configured as mode 1</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20"/>
                <w:highlight w:val="cyan"/>
                <w:lang w:eastAsia="ja-JP"/>
              </w:rPr>
            </w:pPr>
            <w:r>
              <w:rPr>
                <w:rFonts w:ascii="Times New Roman" w:hAnsi="Times New Roman"/>
                <w:szCs w:val="20"/>
              </w:rPr>
              <w:t>33-3-3b</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20"/>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20"/>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[No]</w:t>
            </w:r>
          </w:p>
        </w:tc>
      </w:tr>
      <w:tr w:rsidR="00A156BF">
        <w:trPr>
          <w:trHeight w:val="20"/>
        </w:trPr>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lang w:eastAsia="ja-JP"/>
              </w:rPr>
            </w:pPr>
            <w:r>
              <w:rPr>
                <w:rFonts w:ascii="Times New Roman" w:hAnsi="Times New Roman"/>
                <w:szCs w:val="20"/>
                <w:lang w:eastAsia="ja-JP"/>
              </w:rPr>
              <w:t>33. NR_MBS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33-3-5</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Feedback multiplexing for unicast PDSCH and group-common PDSCH for multicast with same priority and different codebook type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rFonts w:eastAsia="MS Gothic"/>
                <w:sz w:val="18"/>
                <w:szCs w:val="20"/>
                <w:lang w:eastAsia="ja-JP"/>
              </w:rPr>
            </w:pPr>
            <w:r>
              <w:rPr>
                <w:sz w:val="18"/>
                <w:szCs w:val="20"/>
              </w:rPr>
              <w:t>Support of multiplexing HARQ-ACK for unicast and multicast with the same priority and different HARQ-ACK codebook types in the same PUCCH slot</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cyan"/>
                <w:lang w:eastAsia="ja-JP"/>
              </w:rPr>
            </w:pPr>
            <w:r>
              <w:rPr>
                <w:rFonts w:ascii="Times New Roman" w:hAnsi="Times New Roman"/>
                <w:szCs w:val="20"/>
                <w:highlight w:val="yellow"/>
                <w:lang w:eastAsia="ja-JP"/>
              </w:rPr>
              <w:t>[33-2b]</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szCs w:val="20"/>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20"/>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20"/>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[Per FSPC]</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highlight w:val="yellow"/>
              </w:rPr>
            </w:pPr>
            <w:r>
              <w:rPr>
                <w:rFonts w:ascii="Times New Roman" w:hAnsi="Times New Roman"/>
                <w:szCs w:val="20"/>
                <w:highlight w:val="yellow"/>
              </w:rPr>
              <w:t>[No]</w:t>
            </w:r>
          </w:p>
        </w:tc>
      </w:tr>
      <w:bookmarkEnd w:id="5"/>
    </w:tbl>
    <w:p w:rsidR="00A156BF" w:rsidRDefault="00A156BF">
      <w:pPr>
        <w:spacing w:before="120"/>
        <w:rPr>
          <w:b/>
          <w:bCs/>
          <w:szCs w:val="21"/>
          <w:u w:val="single"/>
        </w:rPr>
      </w:pPr>
    </w:p>
    <w:p w:rsidR="00A156BF" w:rsidRDefault="00A156BF">
      <w:pPr>
        <w:spacing w:before="120"/>
        <w:rPr>
          <w:b/>
          <w:bCs/>
          <w:szCs w:val="21"/>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491"/>
        <w:gridCol w:w="2359"/>
        <w:gridCol w:w="2683"/>
        <w:gridCol w:w="538"/>
        <w:gridCol w:w="478"/>
        <w:gridCol w:w="222"/>
        <w:gridCol w:w="222"/>
        <w:gridCol w:w="607"/>
        <w:gridCol w:w="526"/>
        <w:gridCol w:w="526"/>
      </w:tblGrid>
      <w:tr w:rsidR="00A156BF">
        <w:trPr>
          <w:trHeight w:val="20"/>
        </w:trPr>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spacing w:before="120"/>
              <w:rPr>
                <w:rFonts w:ascii="Times New Roman" w:hAnsi="Times New Roman"/>
                <w:kern w:val="0"/>
                <w:szCs w:val="18"/>
                <w:lang w:eastAsia="ja-JP"/>
              </w:rPr>
            </w:pPr>
            <w:r>
              <w:rPr>
                <w:rFonts w:ascii="Times New Roman" w:hAnsi="Times New Roman"/>
                <w:szCs w:val="18"/>
                <w:lang w:eastAsia="ja-JP"/>
              </w:rPr>
              <w:lastRenderedPageBreak/>
              <w:t>33. NR_MBS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spacing w:before="120"/>
              <w:rPr>
                <w:rFonts w:ascii="Times New Roman" w:hAnsi="Times New Roman"/>
                <w:szCs w:val="18"/>
              </w:rPr>
            </w:pPr>
            <w:r>
              <w:rPr>
                <w:rFonts w:ascii="Times New Roman" w:hAnsi="Times New Roman"/>
                <w:szCs w:val="18"/>
              </w:rPr>
              <w:t>33-4-1</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spacing w:before="120"/>
              <w:rPr>
                <w:rFonts w:ascii="Times New Roman" w:hAnsi="Times New Roman"/>
                <w:szCs w:val="18"/>
                <w:lang w:eastAsia="en-US"/>
              </w:rPr>
            </w:pPr>
            <w:r>
              <w:rPr>
                <w:rFonts w:ascii="Times New Roman" w:hAnsi="Times New Roman"/>
                <w:szCs w:val="18"/>
              </w:rPr>
              <w:t>DCI-based enabling/disabling NACK-only based feedback for dynamic scheduling for multicast</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sz w:val="18"/>
                <w:szCs w:val="18"/>
              </w:rPr>
            </w:pPr>
            <w:r>
              <w:rPr>
                <w:sz w:val="18"/>
                <w:szCs w:val="18"/>
              </w:rPr>
              <w:t xml:space="preserve">Support of DCI-based enabling/disabling NACK-only based HARQ-ACK feedback configured per G-RNTI by RRC </w:t>
            </w:r>
            <w:proofErr w:type="spellStart"/>
            <w:r>
              <w:rPr>
                <w:sz w:val="18"/>
                <w:szCs w:val="18"/>
              </w:rPr>
              <w:t>signalling</w:t>
            </w:r>
            <w:proofErr w:type="spellEnd"/>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spacing w:before="120"/>
              <w:rPr>
                <w:rFonts w:ascii="Times New Roman" w:eastAsia="MS Mincho" w:hAnsi="Times New Roman"/>
                <w:szCs w:val="18"/>
                <w:highlight w:val="cyan"/>
                <w:lang w:eastAsia="ja-JP"/>
              </w:rPr>
            </w:pPr>
            <w:r>
              <w:rPr>
                <w:rFonts w:ascii="Times New Roman" w:eastAsia="MS Mincho" w:hAnsi="Times New Roman"/>
                <w:szCs w:val="18"/>
                <w:highlight w:val="yellow"/>
                <w:lang w:eastAsia="ja-JP"/>
              </w:rPr>
              <w:t>[33-4]</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spacing w:before="120"/>
              <w:rPr>
                <w:rFonts w:ascii="Times New Roman" w:hAnsi="Times New Roman"/>
                <w:szCs w:val="18"/>
              </w:rPr>
            </w:pPr>
            <w:r>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spacing w:before="120"/>
              <w:rPr>
                <w:rFonts w:ascii="Times New Roman" w:hAnsi="Times New Roman"/>
                <w:szCs w:val="18"/>
                <w:lang w:val="en-GB"/>
              </w:rPr>
            </w:pPr>
            <w:r>
              <w:rPr>
                <w:rFonts w:ascii="Times New Roman" w:hAnsi="Times New Roman"/>
                <w:szCs w:val="18"/>
              </w:rPr>
              <w:t>Per band</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spacing w:before="120"/>
              <w:rPr>
                <w:rFonts w:ascii="Times New Roman" w:eastAsia="MS Mincho" w:hAnsi="Times New Roman"/>
                <w:szCs w:val="18"/>
                <w:lang w:eastAsia="ja-JP"/>
              </w:rPr>
            </w:pPr>
            <w:r>
              <w:rPr>
                <w:rFonts w:ascii="Times New Roman" w:eastAsia="MS Mincho"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spacing w:before="120"/>
              <w:rPr>
                <w:rFonts w:ascii="Times New Roman" w:eastAsia="MS Mincho" w:hAnsi="Times New Roman"/>
                <w:szCs w:val="18"/>
                <w:lang w:eastAsia="ja-JP"/>
              </w:rPr>
            </w:pPr>
            <w:r>
              <w:rPr>
                <w:rFonts w:ascii="Times New Roman" w:eastAsia="MS Mincho" w:hAnsi="Times New Roman"/>
                <w:szCs w:val="18"/>
                <w:lang w:eastAsia="ja-JP"/>
              </w:rPr>
              <w:t>N/A</w:t>
            </w:r>
          </w:p>
        </w:tc>
      </w:tr>
    </w:tbl>
    <w:p w:rsidR="00A156BF" w:rsidRDefault="00A156BF">
      <w:pPr>
        <w:spacing w:before="120"/>
        <w:rPr>
          <w:b/>
          <w:bCs/>
          <w:szCs w:val="21"/>
          <w:u w:val="single"/>
        </w:rPr>
      </w:pPr>
    </w:p>
    <w:p w:rsidR="00A156BF" w:rsidRDefault="00A156BF">
      <w:pPr>
        <w:spacing w:before="120"/>
        <w:rPr>
          <w:b/>
          <w:bCs/>
          <w:szCs w:val="21"/>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611"/>
        <w:gridCol w:w="2035"/>
        <w:gridCol w:w="2756"/>
        <w:gridCol w:w="516"/>
        <w:gridCol w:w="478"/>
        <w:gridCol w:w="222"/>
        <w:gridCol w:w="222"/>
        <w:gridCol w:w="697"/>
        <w:gridCol w:w="598"/>
        <w:gridCol w:w="556"/>
      </w:tblGrid>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kern w:val="0"/>
                <w:szCs w:val="18"/>
                <w:lang w:eastAsia="ja-JP"/>
              </w:rPr>
            </w:pPr>
            <w:r>
              <w:rPr>
                <w:rFonts w:ascii="Times New Roman" w:eastAsia="MS Mincho" w:hAnsi="Times New Roman"/>
                <w:szCs w:val="18"/>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eastAsia="MS Mincho" w:hAnsi="Times New Roman"/>
                <w:szCs w:val="18"/>
              </w:rPr>
              <w:t>33-5-1d</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PTP retransmission for SPS group-common PDSCH for multicast</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rPr>
                <w:rFonts w:eastAsia="MS Gothic"/>
                <w:sz w:val="18"/>
                <w:szCs w:val="18"/>
                <w:lang w:eastAsia="ja-JP"/>
              </w:rPr>
            </w:pPr>
            <w:r>
              <w:rPr>
                <w:sz w:val="18"/>
                <w:szCs w:val="18"/>
              </w:rPr>
              <w:t xml:space="preserve">Support of PTP retransmission for SPS multicast </w:t>
            </w:r>
            <w:r>
              <w:rPr>
                <w:sz w:val="18"/>
                <w:szCs w:val="18"/>
                <w:highlight w:val="yellow"/>
              </w:rPr>
              <w:t>[on the cell same as multicast initial transmission]</w:t>
            </w:r>
          </w:p>
          <w:p w:rsidR="00A156BF" w:rsidRDefault="00A156BF">
            <w:pPr>
              <w:autoSpaceDE w:val="0"/>
              <w:autoSpaceDN w:val="0"/>
              <w:adjustRightInd w:val="0"/>
              <w:spacing w:before="120"/>
              <w:contextualSpacing/>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33-5-1a</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Per BC</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N/A</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eastAsia="MS Mincho" w:hAnsi="Times New Roman"/>
                <w:szCs w:val="18"/>
                <w:lang w:eastAsia="ja-JP"/>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eastAsia="MS Mincho" w:hAnsi="Times New Roman"/>
                <w:szCs w:val="18"/>
              </w:rPr>
              <w:t>33-5-1e</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Dynamic Slot-level repetition for SPS group-common PDSCH for multicast</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rFonts w:eastAsia="MS Gothic"/>
                <w:sz w:val="18"/>
                <w:szCs w:val="18"/>
                <w:lang w:eastAsia="ja-JP"/>
              </w:rPr>
            </w:pPr>
            <w:r>
              <w:rPr>
                <w:sz w:val="18"/>
                <w:szCs w:val="18"/>
              </w:rPr>
              <w:t>Support up to X times dynamic slot-level repetition for SPS group-common PDSCH for multicast.</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lang w:eastAsia="ja-JP"/>
              </w:rPr>
              <w:t>33-5-1</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eastAsia="MS Mincho" w:hAnsi="Times New Roman"/>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eastAsia="MS Mincho" w:hAnsi="Times New Roman"/>
                <w:szCs w:val="18"/>
                <w:highlight w:val="yellow"/>
              </w:rPr>
              <w:t>[No]</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eastAsia="MS Mincho" w:hAnsi="Times New Roman"/>
                <w:szCs w:val="18"/>
                <w:lang w:eastAsia="ja-JP"/>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eastAsia="MS Mincho" w:hAnsi="Times New Roman"/>
                <w:szCs w:val="18"/>
              </w:rPr>
              <w:t>33-5-1f</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NACK-only based HARQ-ACK feedback for multicast RRC-based enabling/disabling NACK-only based feedback for SPS group-common PDSCH for multicast</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rFonts w:eastAsia="MS Gothic"/>
                <w:sz w:val="18"/>
                <w:szCs w:val="18"/>
                <w:lang w:eastAsia="ja-JP"/>
              </w:rPr>
            </w:pPr>
            <w:r>
              <w:rPr>
                <w:sz w:val="18"/>
                <w:szCs w:val="18"/>
              </w:rPr>
              <w:t xml:space="preserve">1) Support NACK-only based HARQ-ACK feedback, and support of enabling/disabling NACK-only based HARQ-ACK feedback configured by RRC </w:t>
            </w:r>
            <w:proofErr w:type="spellStart"/>
            <w:r>
              <w:rPr>
                <w:sz w:val="18"/>
                <w:szCs w:val="18"/>
              </w:rPr>
              <w:t>signalling</w:t>
            </w:r>
            <w:proofErr w:type="spellEnd"/>
            <w:r>
              <w:rPr>
                <w:sz w:val="18"/>
                <w:szCs w:val="18"/>
              </w:rPr>
              <w:t xml:space="preserve"> for SPS group-common PDSCH without PDCCH scheduling</w:t>
            </w:r>
          </w:p>
          <w:p w:rsidR="00A156BF" w:rsidRDefault="00AD5FE4">
            <w:pPr>
              <w:autoSpaceDE w:val="0"/>
              <w:autoSpaceDN w:val="0"/>
              <w:adjustRightInd w:val="0"/>
              <w:spacing w:before="120"/>
              <w:contextualSpacing/>
              <w:rPr>
                <w:sz w:val="18"/>
                <w:szCs w:val="18"/>
              </w:rPr>
            </w:pPr>
            <w:r>
              <w:rPr>
                <w:sz w:val="18"/>
                <w:szCs w:val="18"/>
              </w:rPr>
              <w:t>2) Support of PTM retransmission associated with G-CS-RNTI for SPS multicast</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lang w:eastAsia="ja-JP"/>
              </w:rPr>
              <w:t>33-5-1</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eastAsia="MS Mincho" w:hAnsi="Times New Roman"/>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eastAsia="MS Mincho" w:hAnsi="Times New Roman"/>
                <w:szCs w:val="18"/>
                <w:highlight w:val="yellow"/>
              </w:rPr>
              <w:t>[No]</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eastAsia="MS Mincho" w:hAnsi="Times New Roman"/>
                <w:szCs w:val="18"/>
                <w:lang w:eastAsia="ja-JP"/>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eastAsia="MS Mincho" w:hAnsi="Times New Roman"/>
                <w:szCs w:val="18"/>
              </w:rPr>
              <w:t>33-5-1g</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DCI-based enabling/disabling NACK-only based feedback for SPS group-common PDSCH for multicast</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rFonts w:eastAsia="MS Gothic"/>
                <w:sz w:val="18"/>
                <w:szCs w:val="18"/>
                <w:lang w:eastAsia="ja-JP"/>
              </w:rPr>
            </w:pPr>
            <w:r>
              <w:rPr>
                <w:sz w:val="18"/>
                <w:szCs w:val="18"/>
              </w:rPr>
              <w:t>Support of DCI-based enabling/disabling NACK-only based HARQ-ACK feedback configured per G-CS-RNTI for multicast by RRC signaling</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lang w:eastAsia="ja-JP"/>
              </w:rPr>
              <w:t>33-5-1f</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eastAsia="MS Mincho" w:hAnsi="Times New Roman"/>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eastAsia="MS Mincho" w:hAnsi="Times New Roman"/>
                <w:szCs w:val="18"/>
                <w:highlight w:val="yellow"/>
              </w:rPr>
              <w:t>[No]</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eastAsia="MS Mincho" w:hAnsi="Times New Roman"/>
                <w:szCs w:val="18"/>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eastAsia="MS Mincho" w:hAnsi="Times New Roman"/>
                <w:szCs w:val="18"/>
              </w:rPr>
              <w:t>33-5-1h</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Multiple G-CS-RNTIs for SPS group-common PDSCHs</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rFonts w:eastAsia="MS Gothic"/>
                <w:sz w:val="18"/>
                <w:szCs w:val="18"/>
                <w:lang w:eastAsia="ja-JP"/>
              </w:rPr>
            </w:pPr>
            <w:r>
              <w:rPr>
                <w:sz w:val="18"/>
                <w:szCs w:val="18"/>
              </w:rPr>
              <w:t xml:space="preserve">Max number of G-CS-RNTIs for SPS multicast </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33-5-1</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eastAsia="MS Mincho" w:hAnsi="Times New Roman"/>
                <w:szCs w:val="18"/>
              </w:rPr>
              <w:t>Yes</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lang w:eastAsia="en-US"/>
              </w:rPr>
            </w:pPr>
            <w:r>
              <w:rPr>
                <w:rFonts w:ascii="Times New Roman" w:hAnsi="Times New Roman"/>
                <w:szCs w:val="18"/>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rPr>
            </w:pPr>
            <w:r>
              <w:rPr>
                <w:rFonts w:ascii="Times New Roman" w:hAnsi="Times New Roman"/>
                <w:szCs w:val="18"/>
              </w:rPr>
              <w:t>33-5-1i</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rPr>
            </w:pPr>
            <w:r>
              <w:rPr>
                <w:rFonts w:ascii="Times New Roman" w:hAnsi="Times New Roman"/>
                <w:color w:val="000000"/>
                <w:szCs w:val="28"/>
              </w:rPr>
              <w:t>Multicast SPS scheduling</w:t>
            </w:r>
            <w:r>
              <w:rPr>
                <w:rFonts w:ascii="Times New Roman" w:hAnsi="Times New Roman"/>
                <w:szCs w:val="28"/>
              </w:rPr>
              <w:t xml:space="preserve"> with DCI format 4_2</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rFonts w:eastAsia="MS Gothic"/>
                <w:color w:val="000000"/>
                <w:sz w:val="18"/>
                <w:szCs w:val="28"/>
                <w:lang w:eastAsia="ja-JP"/>
              </w:rPr>
            </w:pPr>
            <w:r>
              <w:rPr>
                <w:color w:val="000000"/>
                <w:sz w:val="18"/>
                <w:szCs w:val="28"/>
              </w:rPr>
              <w:t>Support of DCI format 4_2 with CRC scrambled with G-CS-RNTI for multicast SPS scheduling</w:t>
            </w:r>
          </w:p>
          <w:p w:rsidR="00A156BF" w:rsidRDefault="00AD5FE4">
            <w:pPr>
              <w:autoSpaceDE w:val="0"/>
              <w:autoSpaceDN w:val="0"/>
              <w:adjustRightInd w:val="0"/>
              <w:spacing w:before="120"/>
              <w:contextualSpacing/>
              <w:rPr>
                <w:sz w:val="18"/>
                <w:szCs w:val="18"/>
              </w:rPr>
            </w:pPr>
            <w:r>
              <w:rPr>
                <w:sz w:val="18"/>
                <w:szCs w:val="18"/>
                <w:highlight w:val="yellow"/>
              </w:rPr>
              <w:t>FFS whether to include retransmission scheduled by DCI format 4_2 with CRC scrambled with G-CS-RNTI</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rPr>
            </w:pPr>
            <w:r>
              <w:rPr>
                <w:rFonts w:ascii="Times New Roman" w:eastAsia="MS Mincho" w:hAnsi="Times New Roman"/>
                <w:color w:val="000000"/>
                <w:szCs w:val="28"/>
                <w:highlight w:val="yellow"/>
                <w:lang w:eastAsia="ja-JP"/>
              </w:rPr>
              <w:t>[33-5-1]</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rPr>
            </w:pPr>
            <w:r>
              <w:rPr>
                <w:rFonts w:ascii="Times New Roman" w:eastAsia="MS Mincho" w:hAnsi="Times New Roman"/>
                <w:szCs w:val="28"/>
                <w:lang w:eastAsia="ja-JP"/>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highlight w:val="yellow"/>
              </w:rPr>
            </w:pPr>
            <w:r>
              <w:rPr>
                <w:rFonts w:ascii="Times New Roman"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highlight w:val="yellow"/>
                <w:lang w:eastAsia="ja-JP"/>
              </w:rPr>
            </w:pPr>
            <w:r>
              <w:rPr>
                <w:rFonts w:ascii="Times New Roman" w:eastAsia="MS Mincho" w:hAnsi="Times New Roman"/>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highlight w:val="yellow"/>
              </w:rPr>
            </w:pPr>
            <w:r>
              <w:rPr>
                <w:rFonts w:ascii="Times New Roman" w:hAnsi="Times New Roman"/>
                <w:szCs w:val="18"/>
                <w:highlight w:val="yellow"/>
              </w:rPr>
              <w:t>FFS</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hAnsi="Times New Roman"/>
                <w:szCs w:val="18"/>
                <w:lang w:eastAsia="ja-JP"/>
              </w:rPr>
              <w:t xml:space="preserve"> 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lang w:eastAsia="ja-JP"/>
              </w:rPr>
              <w:t>33-5-2</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Multiple SPS group-common PDSCH configuration</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autoSpaceDE w:val="0"/>
              <w:autoSpaceDN w:val="0"/>
              <w:adjustRightInd w:val="0"/>
              <w:spacing w:before="120"/>
              <w:contextualSpacing/>
              <w:rPr>
                <w:rFonts w:eastAsia="MS Gothic"/>
                <w:sz w:val="18"/>
                <w:szCs w:val="18"/>
                <w:lang w:eastAsia="ja-JP"/>
              </w:rPr>
            </w:pPr>
            <w:r>
              <w:rPr>
                <w:sz w:val="18"/>
                <w:szCs w:val="18"/>
              </w:rPr>
              <w:t>1. Support up to 8 SPS group-common PDSCH configuration per CFR for multicast</w:t>
            </w:r>
          </w:p>
          <w:p w:rsidR="00A156BF" w:rsidRDefault="00AD5FE4">
            <w:pPr>
              <w:autoSpaceDE w:val="0"/>
              <w:autoSpaceDN w:val="0"/>
              <w:adjustRightInd w:val="0"/>
              <w:spacing w:before="120"/>
              <w:contextualSpacing/>
              <w:rPr>
                <w:sz w:val="18"/>
                <w:szCs w:val="18"/>
              </w:rPr>
            </w:pPr>
            <w:r>
              <w:rPr>
                <w:sz w:val="18"/>
                <w:szCs w:val="18"/>
              </w:rPr>
              <w:t>2. Support M&gt;=1 activated SPS group-common PDSCH configurations per CFR for multicast</w:t>
            </w:r>
          </w:p>
          <w:p w:rsidR="00A156BF" w:rsidRDefault="00AD5FE4">
            <w:pPr>
              <w:autoSpaceDE w:val="0"/>
              <w:autoSpaceDN w:val="0"/>
              <w:adjustRightInd w:val="0"/>
              <w:spacing w:before="120"/>
              <w:contextualSpacing/>
              <w:rPr>
                <w:sz w:val="18"/>
                <w:szCs w:val="18"/>
              </w:rPr>
            </w:pPr>
            <w:r>
              <w:rPr>
                <w:sz w:val="18"/>
                <w:szCs w:val="18"/>
              </w:rPr>
              <w:t xml:space="preserve">3. The total number of SPS configurations for both multicast and unicast is no larger than 8 </w:t>
            </w:r>
            <w:r>
              <w:rPr>
                <w:sz w:val="18"/>
                <w:szCs w:val="18"/>
                <w:highlight w:val="yellow"/>
              </w:rPr>
              <w:t>[per cell]</w:t>
            </w:r>
            <w:r>
              <w:rPr>
                <w:sz w:val="18"/>
                <w:szCs w:val="18"/>
              </w:rPr>
              <w:t>, and activated SPS group-common PDSCH configurations is no larger than M.</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hAnsi="Times New Roman"/>
                <w:szCs w:val="18"/>
              </w:rPr>
              <w:t>33-2</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hAnsi="Times New Roman"/>
                <w:szCs w:val="18"/>
                <w:lang w:eastAsia="ja-JP"/>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33-6-1</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rPr>
              <w:t>DL priority indication for multicast in DCI</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en-US"/>
              </w:rPr>
            </w:pPr>
            <w:r>
              <w:rPr>
                <w:rFonts w:ascii="Times New Roman" w:hAnsi="Times New Roman"/>
                <w:szCs w:val="18"/>
              </w:rPr>
              <w:t xml:space="preserve">1. Support of priority indicator field configured in DCI formats 4_2 </w:t>
            </w:r>
            <w:r>
              <w:rPr>
                <w:rFonts w:ascii="Times New Roman" w:eastAsia="MS Gothic" w:hAnsi="Times New Roman"/>
                <w:szCs w:val="18"/>
                <w:lang w:eastAsia="ja-JP"/>
              </w:rPr>
              <w:t>with CRC scrambled with G-RNTI for multicast</w:t>
            </w:r>
            <w:r>
              <w:rPr>
                <w:rFonts w:ascii="Times New Roman" w:hAnsi="Times New Roman"/>
                <w:szCs w:val="18"/>
              </w:rPr>
              <w:t>.</w:t>
            </w:r>
          </w:p>
          <w:p w:rsidR="00A156BF" w:rsidRDefault="00AD5FE4">
            <w:pPr>
              <w:pStyle w:val="TAL"/>
              <w:keepNext w:val="0"/>
              <w:keepLines w:val="0"/>
              <w:spacing w:before="120"/>
              <w:rPr>
                <w:rFonts w:ascii="Times New Roman" w:eastAsia="MS Mincho" w:hAnsi="Times New Roman"/>
                <w:szCs w:val="18"/>
                <w:lang w:eastAsia="ja-JP"/>
              </w:rPr>
            </w:pPr>
            <w:r>
              <w:rPr>
                <w:rFonts w:ascii="Times New Roman" w:eastAsia="MS Mincho" w:hAnsi="Times New Roman"/>
                <w:szCs w:val="18"/>
                <w:lang w:eastAsia="ja-JP"/>
              </w:rPr>
              <w:t xml:space="preserve">2. Supports two HARQ-ACK codebooks with different priorities </w:t>
            </w:r>
            <w:r>
              <w:rPr>
                <w:rFonts w:ascii="Times New Roman" w:eastAsia="MS Mincho" w:hAnsi="Times New Roman"/>
                <w:szCs w:val="18"/>
                <w:lang w:eastAsia="ja-JP"/>
              </w:rPr>
              <w:lastRenderedPageBreak/>
              <w:t>to be simultaneously constructed different priorities for multicast and multicast at a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lastRenderedPageBreak/>
              <w:t>33-2</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hAnsi="Times New Roman"/>
                <w:szCs w:val="18"/>
                <w:lang w:eastAsia="ja-JP"/>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33-6-1a</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rPr>
              <w:t>DL priority configuration for SPS multicast</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en-US"/>
              </w:rPr>
            </w:pPr>
            <w:r>
              <w:rPr>
                <w:rFonts w:ascii="Times New Roman" w:hAnsi="Times New Roman"/>
                <w:szCs w:val="18"/>
              </w:rPr>
              <w:t>Support of priority configured for multicast HARQ-ACK feedback of SPS multicast</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lang w:eastAsia="ja-JP"/>
              </w:rPr>
            </w:pPr>
            <w:r>
              <w:rPr>
                <w:rFonts w:ascii="Times New Roman" w:eastAsia="MS Mincho" w:hAnsi="Times New Roman"/>
                <w:szCs w:val="18"/>
                <w:lang w:eastAsia="ja-JP"/>
              </w:rPr>
              <w:t>33-6-1</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highlight w:val="yellow"/>
                <w:lang w:eastAsia="ja-JP"/>
              </w:rPr>
            </w:pPr>
            <w:r>
              <w:rPr>
                <w:rFonts w:ascii="Times New Roman" w:eastAsia="MS Mincho" w:hAnsi="Times New Roman"/>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highlight w:val="yellow"/>
                <w:lang w:eastAsia="ja-JP"/>
              </w:rPr>
            </w:pPr>
            <w:r>
              <w:rPr>
                <w:rFonts w:ascii="Times New Roman" w:eastAsia="MS Mincho" w:hAnsi="Times New Roman"/>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eastAsia="MS Mincho" w:hAnsi="Times New Roman"/>
                <w:szCs w:val="18"/>
                <w:highlight w:val="yellow"/>
                <w:lang w:eastAsia="ja-JP"/>
              </w:rPr>
            </w:pPr>
            <w:r>
              <w:rPr>
                <w:rFonts w:ascii="Times New Roman" w:eastAsia="MS Mincho" w:hAnsi="Times New Roman"/>
                <w:szCs w:val="18"/>
                <w:highlight w:val="yellow"/>
                <w:lang w:eastAsia="ja-JP"/>
              </w:rPr>
              <w:t>FFS</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hAnsi="Times New Roman"/>
                <w:szCs w:val="18"/>
                <w:lang w:eastAsia="ja-JP"/>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33-6-2</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rPr>
              <w:t>Two HARQ-ACK codebooks simultaneously constructed for supporting HARQ-ACK codebooks with different priorities for unicast and multicast at a UE</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lang w:eastAsia="en-US"/>
              </w:rPr>
            </w:pPr>
            <w:r>
              <w:rPr>
                <w:rFonts w:ascii="Times New Roman" w:hAnsi="Times New Roman"/>
                <w:szCs w:val="18"/>
              </w:rPr>
              <w:t>1. Supports two HARQ-ACK codebooks with different priorities to be simultaneously constructed different priorities for unicast and multicast at a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33-6-1</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hAnsi="Times New Roman"/>
                <w:szCs w:val="18"/>
                <w:lang w:eastAsia="ja-JP"/>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33-6-3</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rPr>
              <w:t>More than one PUCCH for HARQ-ACK transmission for multicast or for unicast and multicast within a slot</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lang w:eastAsia="en-US"/>
              </w:rPr>
            </w:pPr>
            <w:r>
              <w:rPr>
                <w:rFonts w:ascii="Times New Roman" w:hAnsi="Times New Roman"/>
              </w:rPr>
              <w:t xml:space="preserve">1. Supports </w:t>
            </w:r>
            <w:r>
              <w:rPr>
                <w:rFonts w:ascii="Times New Roman" w:hAnsi="Times New Roman"/>
                <w:szCs w:val="18"/>
              </w:rPr>
              <w:t>two non-overlapping slot-based PUCCHs for ACK/NACK based HARQ-ACK feedback for multicast or for unicast and multicast with different priorities in a slot</w:t>
            </w:r>
            <w:r>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33-6-1, 33-6-2</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hAnsi="Times New Roman"/>
                <w:szCs w:val="18"/>
                <w:lang w:eastAsia="ja-JP"/>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33-8-1</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rPr>
              <w:t>PUCCH resource configuration for multicast feedback for dynamically scheduled multicast</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lang w:eastAsia="en-US"/>
              </w:rPr>
            </w:pPr>
            <w:r>
              <w:rPr>
                <w:rFonts w:ascii="Times New Roman" w:hAnsi="Times New Roman"/>
              </w:rPr>
              <w:t>Support of a PUCCH-Config for multicast HARQ-ACK feedback, separate from that of unicast configurations</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33-2a</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[Per band or per FSPC]</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r>
      <w:tr w:rsidR="00A156BF">
        <w:trPr>
          <w:trHeight w:val="20"/>
        </w:trPr>
        <w:tc>
          <w:tcPr>
            <w:tcW w:w="93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lang w:eastAsia="ja-JP"/>
              </w:rPr>
            </w:pPr>
            <w:r>
              <w:rPr>
                <w:rFonts w:ascii="Times New Roman" w:hAnsi="Times New Roman"/>
                <w:szCs w:val="18"/>
                <w:lang w:eastAsia="ja-JP"/>
              </w:rPr>
              <w:t>33. NR_MBS</w:t>
            </w:r>
          </w:p>
        </w:tc>
        <w:tc>
          <w:tcPr>
            <w:tcW w:w="628"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33-9</w:t>
            </w:r>
          </w:p>
        </w:tc>
        <w:tc>
          <w:tcPr>
            <w:tcW w:w="2087"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20"/>
              </w:rPr>
            </w:pPr>
            <w:r>
              <w:rPr>
                <w:rFonts w:ascii="Times New Roman" w:hAnsi="Times New Roman"/>
              </w:rPr>
              <w:t>Supporting unicast PDCCH to release SPS group-common PDSCH</w:t>
            </w:r>
          </w:p>
        </w:tc>
        <w:tc>
          <w:tcPr>
            <w:tcW w:w="2886" w:type="dxa"/>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lang w:eastAsia="en-US"/>
              </w:rPr>
            </w:pPr>
            <w:r>
              <w:rPr>
                <w:rFonts w:ascii="Times New Roman" w:hAnsi="Times New Roman"/>
              </w:rPr>
              <w:t>Supports unicast PDCCH scrambled with CS-RNTI to release SPS group-common PDSCH</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highlight w:val="yellow"/>
              </w:rPr>
              <w:t>[33-5-1]</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rPr>
            </w:pPr>
            <w:r>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A156BF" w:rsidRDefault="00A156BF">
            <w:pPr>
              <w:pStyle w:val="TAL"/>
              <w:keepNext w:val="0"/>
              <w:keepLines w:val="0"/>
              <w:spacing w:before="120"/>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[Per UE]</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rsidR="00A156BF" w:rsidRDefault="00AD5FE4">
            <w:pPr>
              <w:pStyle w:val="TAL"/>
              <w:keepNext w:val="0"/>
              <w:keepLines w:val="0"/>
              <w:spacing w:before="120"/>
              <w:rPr>
                <w:rFonts w:ascii="Times New Roman" w:hAnsi="Times New Roman"/>
                <w:szCs w:val="18"/>
                <w:highlight w:val="yellow"/>
              </w:rPr>
            </w:pPr>
            <w:r>
              <w:rPr>
                <w:rFonts w:ascii="Times New Roman" w:hAnsi="Times New Roman"/>
                <w:szCs w:val="18"/>
                <w:highlight w:val="yellow"/>
              </w:rPr>
              <w:t>[No]</w:t>
            </w:r>
          </w:p>
        </w:tc>
      </w:tr>
    </w:tbl>
    <w:p w:rsidR="00A156BF" w:rsidRDefault="00A156BF">
      <w:pPr>
        <w:spacing w:before="120"/>
        <w:rPr>
          <w:b/>
          <w:bCs/>
          <w:szCs w:val="21"/>
          <w:u w:val="single"/>
        </w:rPr>
      </w:pPr>
    </w:p>
    <w:p w:rsidR="00A156BF" w:rsidRPr="00D2256E" w:rsidRDefault="00AD5FE4">
      <w:pPr>
        <w:spacing w:before="120"/>
        <w:rPr>
          <w:rFonts w:cs="Times New Roman"/>
        </w:rPr>
      </w:pPr>
      <w:r w:rsidRPr="00D2256E">
        <w:rPr>
          <w:rFonts w:cs="Times New Roman"/>
        </w:rPr>
        <w:t>For all the MBS UE features with FFS for the report type, the following report type can be considered as a middle ground between companies.</w:t>
      </w:r>
    </w:p>
    <w:p w:rsidR="00A156BF" w:rsidRPr="00D2256E" w:rsidRDefault="00AD5FE4">
      <w:pPr>
        <w:pStyle w:val="a"/>
        <w:numPr>
          <w:ilvl w:val="0"/>
          <w:numId w:val="14"/>
        </w:numPr>
        <w:spacing w:before="120"/>
        <w:rPr>
          <w:rFonts w:cs="Times New Roman"/>
          <w:lang w:val="en-US"/>
        </w:rPr>
      </w:pPr>
      <w:r w:rsidRPr="00D2256E">
        <w:rPr>
          <w:rFonts w:cs="Times New Roman"/>
        </w:rPr>
        <w:t>Reporting type is per UE with [FDD/TDD,] FR1/FR2, licensed/unlicensed, and TN/NTN differentiation, detail signalling is up to RAN2</w:t>
      </w:r>
    </w:p>
    <w:p w:rsidR="00A156BF" w:rsidRPr="00D2256E" w:rsidRDefault="00AD5FE4">
      <w:pPr>
        <w:spacing w:before="120"/>
        <w:rPr>
          <w:rFonts w:cs="Times New Roman"/>
          <w:i/>
        </w:rPr>
      </w:pPr>
      <w:r w:rsidRPr="00D2256E">
        <w:rPr>
          <w:rFonts w:cs="Times New Roman"/>
          <w:b/>
          <w:i/>
        </w:rPr>
        <w:t>Proposal 9</w:t>
      </w:r>
      <w:r w:rsidRPr="00D2256E">
        <w:rPr>
          <w:rFonts w:cs="Times New Roman"/>
          <w:i/>
        </w:rPr>
        <w:t>: Regarding the report type for MBS FG 33-3-3, 33-3-3a, 33-3-3b, 33-3-4, 33-3-5, 33-5-1e, 33-5-1f, 33-5-1g, 33-5-1i, 33-5-2, 33-6-1, 33-6-1a, 33-6-2, 33-6-3, 33-8-1 and 33-9, consider the following as baseline.</w:t>
      </w:r>
    </w:p>
    <w:p w:rsidR="00A156BF" w:rsidRPr="00D2256E" w:rsidRDefault="00AD5FE4">
      <w:pPr>
        <w:pStyle w:val="a"/>
        <w:numPr>
          <w:ilvl w:val="1"/>
          <w:numId w:val="15"/>
        </w:numPr>
        <w:spacing w:before="120"/>
        <w:rPr>
          <w:rFonts w:cs="Times New Roman"/>
          <w:b/>
          <w:bCs/>
          <w:szCs w:val="21"/>
          <w:u w:val="single"/>
        </w:rPr>
      </w:pPr>
      <w:r w:rsidRPr="00D2256E">
        <w:rPr>
          <w:rFonts w:cs="Times New Roman"/>
          <w:i/>
        </w:rPr>
        <w:t>Reporting type is per UE with [FDD/TDD,] FR1/FR2, licensed/unlicensed, and TN/NTN differentiation, detail signalling is up to RAN2</w:t>
      </w:r>
    </w:p>
    <w:p w:rsidR="00D2256E" w:rsidRPr="00D2256E" w:rsidRDefault="00D2256E" w:rsidP="00D2256E">
      <w:pPr>
        <w:spacing w:before="120"/>
        <w:ind w:left="420"/>
        <w:rPr>
          <w:b/>
          <w:bCs/>
          <w:szCs w:val="21"/>
          <w:u w:val="single"/>
        </w:rPr>
      </w:pPr>
    </w:p>
    <w:p w:rsidR="00A156BF" w:rsidRPr="00D2256E" w:rsidRDefault="00AD5FE4">
      <w:pPr>
        <w:spacing w:before="120"/>
        <w:rPr>
          <w:rFonts w:cs="Times New Roman"/>
        </w:rPr>
      </w:pPr>
      <w:r w:rsidRPr="00D2256E">
        <w:rPr>
          <w:rFonts w:cs="Times New Roman"/>
        </w:rPr>
        <w:t>The second issue is about whether to delete “</w:t>
      </w:r>
      <w:r w:rsidRPr="00D2256E">
        <w:rPr>
          <w:rFonts w:cs="Times New Roman"/>
          <w:highlight w:val="yellow"/>
        </w:rPr>
        <w:t>FFS value of X G-RNTIs</w:t>
      </w:r>
      <w:r w:rsidRPr="00D2256E">
        <w:rPr>
          <w:rFonts w:cs="Times New Roman"/>
        </w:rPr>
        <w:t>” for FG 33-3-3a and 33-3-3b. This issue has been discussed for several meetings without outcome. From our perspective, our view is we have already introduced an FG to indicate the number of G-RNTIs for each UE. It can already provide sufficient UE implementation flexibility. Thus, we propose to remove this part.</w:t>
      </w:r>
    </w:p>
    <w:p w:rsidR="00A156BF" w:rsidRPr="00D2256E" w:rsidRDefault="00AD5FE4" w:rsidP="00D2256E">
      <w:pPr>
        <w:spacing w:before="120" w:afterLines="50" w:after="120"/>
        <w:rPr>
          <w:rFonts w:cs="Times New Roman"/>
          <w:i/>
          <w:iCs/>
        </w:rPr>
      </w:pPr>
      <w:r w:rsidRPr="00D2256E">
        <w:rPr>
          <w:rFonts w:cs="Times New Roman"/>
          <w:b/>
          <w:bCs/>
          <w:i/>
          <w:iCs/>
        </w:rPr>
        <w:t xml:space="preserve">Proposal 10: </w:t>
      </w:r>
      <w:r w:rsidRPr="00D2256E">
        <w:rPr>
          <w:rFonts w:cs="Times New Roman"/>
          <w:i/>
          <w:iCs/>
        </w:rPr>
        <w:t>Remove “FFS value of X G-RNTIs” from FG 33-3-3a and 33-3-3b.</w:t>
      </w:r>
    </w:p>
    <w:p w:rsidR="00D2256E" w:rsidRDefault="00D2256E">
      <w:pPr>
        <w:spacing w:before="120"/>
        <w:rPr>
          <w:i/>
        </w:rPr>
      </w:pPr>
    </w:p>
    <w:p w:rsidR="00A156BF" w:rsidRPr="00D2256E" w:rsidRDefault="00AD5FE4">
      <w:pPr>
        <w:spacing w:before="120"/>
        <w:rPr>
          <w:rFonts w:cs="Times New Roman"/>
        </w:rPr>
      </w:pPr>
      <w:r w:rsidRPr="00D2256E">
        <w:rPr>
          <w:rFonts w:cs="Times New Roman"/>
        </w:rPr>
        <w:t>The third issue is whether to remove the brackets for “</w:t>
      </w:r>
      <w:r w:rsidRPr="00D2256E">
        <w:rPr>
          <w:rFonts w:cs="Times New Roman"/>
          <w:highlight w:val="yellow"/>
        </w:rPr>
        <w:t>[on the cell same as multicast initial transmission]</w:t>
      </w:r>
      <w:r w:rsidRPr="00D2256E">
        <w:rPr>
          <w:rFonts w:cs="Times New Roman"/>
        </w:rPr>
        <w:t xml:space="preserve">” for 33-5-1d. It is straightforward that the PTP retransmission for SPS multicast is on the cell same as multicast initial transmission unless RAN2 has agreed to introduce this late enhancement. </w:t>
      </w:r>
    </w:p>
    <w:p w:rsidR="00A156BF" w:rsidRPr="00D2256E" w:rsidRDefault="00AD5FE4" w:rsidP="00D2256E">
      <w:pPr>
        <w:spacing w:before="120" w:afterLines="50" w:after="120"/>
        <w:rPr>
          <w:rFonts w:cs="Times New Roman"/>
          <w:i/>
          <w:iCs/>
        </w:rPr>
      </w:pPr>
      <w:r w:rsidRPr="00D2256E">
        <w:rPr>
          <w:rFonts w:cs="Times New Roman"/>
          <w:b/>
          <w:bCs/>
          <w:i/>
          <w:iCs/>
        </w:rPr>
        <w:t xml:space="preserve">Proposal 11: </w:t>
      </w:r>
      <w:r w:rsidRPr="00D2256E">
        <w:rPr>
          <w:rFonts w:cs="Times New Roman"/>
          <w:i/>
          <w:iCs/>
        </w:rPr>
        <w:t>Remove the brackets of “[on the cell same as multicast initial transmission]” for 33-5-1d.</w:t>
      </w:r>
    </w:p>
    <w:p w:rsidR="00D2256E" w:rsidRDefault="00D2256E">
      <w:pPr>
        <w:spacing w:before="120"/>
        <w:rPr>
          <w:i/>
          <w:iCs/>
        </w:rPr>
      </w:pPr>
    </w:p>
    <w:p w:rsidR="00A156BF" w:rsidRPr="00D2256E" w:rsidRDefault="00AD5FE4">
      <w:pPr>
        <w:spacing w:before="120"/>
        <w:rPr>
          <w:rFonts w:cs="Times New Roman"/>
        </w:rPr>
      </w:pPr>
      <w:r w:rsidRPr="00D2256E">
        <w:rPr>
          <w:rFonts w:cs="Times New Roman"/>
        </w:rPr>
        <w:t>The fourth issue is whether to include retransmission scheduled by DCI format 4_2 with CRC scrambled with G-CS-RNTI in 33-5-1i. From our perspective, from UE implementation perspective, retransmission scheduled by DCI format 4_2 with CRC scrambled with G-CS-RNTI in 33-5-1i is the same as DCI format 4_2 with CRC scrambled with G-CS-RNTI for multicast SPS scheduling. Thus, it is straightforward to include retransmission scheduled by DCI format 4_2 with CRC scrambled with G-CS-RNTI in 33-5-1i.</w:t>
      </w:r>
    </w:p>
    <w:p w:rsidR="00A156BF" w:rsidRDefault="00AD5FE4" w:rsidP="00D2256E">
      <w:pPr>
        <w:spacing w:before="120" w:afterLines="50" w:after="120"/>
        <w:rPr>
          <w:rFonts w:cs="Times New Roman"/>
          <w:i/>
          <w:iCs/>
        </w:rPr>
      </w:pPr>
      <w:r w:rsidRPr="00D2256E">
        <w:rPr>
          <w:rFonts w:cs="Times New Roman"/>
          <w:b/>
          <w:bCs/>
          <w:i/>
          <w:iCs/>
        </w:rPr>
        <w:lastRenderedPageBreak/>
        <w:t xml:space="preserve">Proposal 12: </w:t>
      </w:r>
      <w:r w:rsidRPr="00D2256E">
        <w:rPr>
          <w:rFonts w:cs="Times New Roman"/>
          <w:i/>
          <w:iCs/>
        </w:rPr>
        <w:t>Add one component in 33-5-1i: Support retransmission scheduled by DCI format 4_2 with CRC scrambled with G-CS-RNTI.</w:t>
      </w:r>
    </w:p>
    <w:p w:rsidR="00D2256E" w:rsidRPr="00D2256E" w:rsidRDefault="00D2256E" w:rsidP="00D2256E">
      <w:pPr>
        <w:spacing w:before="120" w:afterLines="50" w:after="120"/>
        <w:rPr>
          <w:rFonts w:cs="Times New Roman"/>
          <w:b/>
          <w:bCs/>
          <w:i/>
          <w:iCs/>
        </w:rPr>
      </w:pPr>
    </w:p>
    <w:p w:rsidR="00A156BF" w:rsidRDefault="00AD5FE4">
      <w:pPr>
        <w:pStyle w:val="1"/>
        <w:rPr>
          <w:lang w:eastAsia="zh-CN"/>
        </w:rPr>
      </w:pPr>
      <w:r>
        <w:rPr>
          <w:rFonts w:hint="eastAsia"/>
          <w:lang w:eastAsia="zh-CN"/>
        </w:rPr>
        <w:t>C</w:t>
      </w:r>
      <w:r>
        <w:rPr>
          <w:lang w:eastAsia="zh-CN"/>
        </w:rPr>
        <w:t>onclusion</w:t>
      </w:r>
    </w:p>
    <w:p w:rsidR="00A156BF" w:rsidRDefault="00AD5FE4">
      <w:pPr>
        <w:spacing w:before="120"/>
        <w:rPr>
          <w:bCs/>
          <w:i/>
        </w:rPr>
      </w:pPr>
      <w:r>
        <w:rPr>
          <w:rFonts w:hint="eastAsia"/>
        </w:rPr>
        <w:t>Based on the discussion, we have the following proposals.</w:t>
      </w:r>
      <w:r>
        <w:rPr>
          <w:rFonts w:hint="eastAsia"/>
          <w:bCs/>
          <w:i/>
        </w:rPr>
        <w:t xml:space="preserve"> </w:t>
      </w:r>
    </w:p>
    <w:p w:rsidR="00D2256E" w:rsidRPr="00D2256E" w:rsidRDefault="00D2256E" w:rsidP="00D2256E">
      <w:pPr>
        <w:spacing w:before="120"/>
        <w:jc w:val="center"/>
        <w:rPr>
          <w:b/>
          <w:bCs/>
          <w:u w:val="single"/>
        </w:rPr>
      </w:pPr>
      <w:r w:rsidRPr="00D2256E">
        <w:rPr>
          <w:b/>
          <w:bCs/>
          <w:u w:val="single"/>
        </w:rPr>
        <w:t xml:space="preserve">UE features for </w:t>
      </w:r>
      <w:proofErr w:type="spellStart"/>
      <w:r w:rsidRPr="00D2256E">
        <w:rPr>
          <w:b/>
          <w:bCs/>
          <w:u w:val="single"/>
        </w:rPr>
        <w:t>eIIoT</w:t>
      </w:r>
      <w:proofErr w:type="spellEnd"/>
      <w:r w:rsidRPr="00D2256E">
        <w:rPr>
          <w:b/>
          <w:bCs/>
          <w:u w:val="single"/>
        </w:rPr>
        <w:t xml:space="preserve"> &amp; URLLC</w:t>
      </w:r>
    </w:p>
    <w:p w:rsidR="00A156BF" w:rsidRPr="00D2256E" w:rsidRDefault="00AD5FE4">
      <w:pPr>
        <w:spacing w:before="120"/>
        <w:rPr>
          <w:rFonts w:cs="Times New Roman"/>
        </w:rPr>
      </w:pPr>
      <w:r w:rsidRPr="00D2256E">
        <w:rPr>
          <w:rFonts w:cs="Times New Roman"/>
          <w:b/>
          <w:i/>
          <w:lang w:val="en-GB"/>
        </w:rPr>
        <w:t>Proposal 1:</w:t>
      </w:r>
      <w:r w:rsidRPr="00D2256E">
        <w:rPr>
          <w:rFonts w:cs="Times New Roman"/>
          <w:i/>
          <w:lang w:val="en-GB"/>
        </w:rPr>
        <w:t xml:space="preserve"> </w:t>
      </w:r>
      <w:r w:rsidRPr="00D2256E">
        <w:rPr>
          <w:rFonts w:eastAsia="MS Mincho" w:cs="Times New Roman"/>
          <w:i/>
        </w:rPr>
        <w:t>FG 11-4 is added as a prerequisite for FG 25-16</w:t>
      </w:r>
      <w:r w:rsidRPr="00D2256E">
        <w:rPr>
          <w:rFonts w:cs="Times New Roman"/>
          <w:i/>
          <w:lang w:val="en-GB"/>
        </w:rPr>
        <w:t>.</w:t>
      </w:r>
    </w:p>
    <w:p w:rsidR="00A156BF" w:rsidRPr="00D2256E" w:rsidRDefault="00AD5FE4">
      <w:pPr>
        <w:spacing w:before="120"/>
        <w:rPr>
          <w:rFonts w:cs="Times New Roman"/>
          <w:i/>
          <w:iCs/>
        </w:rPr>
      </w:pPr>
      <w:r w:rsidRPr="00D2256E">
        <w:rPr>
          <w:rFonts w:cs="Times New Roman"/>
          <w:b/>
          <w:bCs/>
          <w:i/>
          <w:iCs/>
        </w:rPr>
        <w:t>Proposal 2:</w:t>
      </w:r>
      <w:r w:rsidRPr="00D2256E">
        <w:rPr>
          <w:rFonts w:cs="Times New Roman"/>
          <w:i/>
          <w:iCs/>
        </w:rPr>
        <w:t xml:space="preserve"> Maximum DL PRS bandwidth in MHz should not be supported and reported by UE.</w:t>
      </w:r>
    </w:p>
    <w:p w:rsidR="00A156BF" w:rsidRPr="00D2256E" w:rsidRDefault="00AD5FE4">
      <w:pPr>
        <w:spacing w:before="120"/>
        <w:rPr>
          <w:rFonts w:cs="Times New Roman"/>
          <w:i/>
          <w:iCs/>
        </w:rPr>
      </w:pPr>
      <w:r w:rsidRPr="00D2256E">
        <w:rPr>
          <w:rFonts w:cs="Times New Roman"/>
          <w:b/>
          <w:bCs/>
          <w:i/>
          <w:iCs/>
        </w:rPr>
        <w:t>Proposal 3:</w:t>
      </w:r>
      <w:r w:rsidRPr="00D2256E">
        <w:rPr>
          <w:rFonts w:cs="Times New Roman"/>
          <w:i/>
          <w:iCs/>
        </w:rPr>
        <w:t xml:space="preserve"> Spatial relation for SRS for PDC based on PRS for PDC from the serving cell can be considered as a component of FG 25-19a. </w:t>
      </w:r>
    </w:p>
    <w:p w:rsidR="00D2256E" w:rsidRDefault="00D2256E">
      <w:pPr>
        <w:overflowPunct w:val="0"/>
        <w:autoSpaceDE w:val="0"/>
        <w:autoSpaceDN w:val="0"/>
        <w:adjustRightInd w:val="0"/>
        <w:spacing w:before="120" w:after="120"/>
        <w:textAlignment w:val="baseline"/>
        <w:rPr>
          <w:rFonts w:eastAsia="宋体" w:cs="Times New Roman"/>
          <w:b/>
          <w:i/>
          <w:szCs w:val="20"/>
          <w:lang w:bidi="ar"/>
        </w:rPr>
      </w:pPr>
    </w:p>
    <w:p w:rsidR="00D2256E" w:rsidRPr="00D2256E" w:rsidRDefault="00D2256E" w:rsidP="00D2256E">
      <w:pPr>
        <w:spacing w:before="120"/>
        <w:jc w:val="center"/>
        <w:rPr>
          <w:b/>
          <w:bCs/>
          <w:u w:val="single"/>
        </w:rPr>
      </w:pPr>
      <w:r w:rsidRPr="00D2256E">
        <w:rPr>
          <w:b/>
          <w:bCs/>
          <w:u w:val="single"/>
        </w:rPr>
        <w:t xml:space="preserve">UE features for </w:t>
      </w:r>
      <w:proofErr w:type="spellStart"/>
      <w:r w:rsidRPr="00D2256E">
        <w:rPr>
          <w:b/>
          <w:bCs/>
          <w:u w:val="single"/>
        </w:rPr>
        <w:t>RedCap</w:t>
      </w:r>
      <w:proofErr w:type="spellEnd"/>
    </w:p>
    <w:p w:rsidR="00A156BF" w:rsidRPr="00D2256E" w:rsidRDefault="00AD5FE4">
      <w:pPr>
        <w:overflowPunct w:val="0"/>
        <w:autoSpaceDE w:val="0"/>
        <w:autoSpaceDN w:val="0"/>
        <w:adjustRightInd w:val="0"/>
        <w:spacing w:before="120" w:after="120"/>
        <w:textAlignment w:val="baseline"/>
        <w:rPr>
          <w:rFonts w:cs="Times New Roman"/>
          <w:b/>
          <w:i/>
          <w:szCs w:val="20"/>
          <w:lang w:bidi="ar"/>
        </w:rPr>
      </w:pPr>
      <w:r w:rsidRPr="00D2256E">
        <w:rPr>
          <w:rFonts w:eastAsia="宋体" w:cs="Times New Roman"/>
          <w:b/>
          <w:i/>
          <w:szCs w:val="20"/>
          <w:lang w:bidi="ar"/>
        </w:rPr>
        <w:t xml:space="preserve">Proposal </w:t>
      </w:r>
      <w:r w:rsidRPr="00D2256E">
        <w:rPr>
          <w:rFonts w:cs="Times New Roman"/>
          <w:b/>
          <w:i/>
          <w:szCs w:val="20"/>
          <w:lang w:bidi="ar"/>
        </w:rPr>
        <w:t>4</w:t>
      </w:r>
      <w:r w:rsidRPr="00D2256E">
        <w:rPr>
          <w:rFonts w:eastAsia="宋体" w:cs="Times New Roman"/>
          <w:b/>
          <w:i/>
          <w:szCs w:val="20"/>
          <w:lang w:bidi="ar"/>
        </w:rPr>
        <w:t xml:space="preserve">: </w:t>
      </w:r>
      <w:r w:rsidRPr="00D2256E">
        <w:rPr>
          <w:rFonts w:eastAsia="宋体" w:cs="Times New Roman"/>
          <w:i/>
          <w:szCs w:val="20"/>
          <w:lang w:bidi="ar"/>
        </w:rPr>
        <w:t xml:space="preserve">For </w:t>
      </w:r>
      <w:proofErr w:type="spellStart"/>
      <w:r w:rsidRPr="00D2256E">
        <w:rPr>
          <w:rFonts w:eastAsia="宋体" w:cs="Times New Roman"/>
          <w:i/>
          <w:szCs w:val="20"/>
          <w:lang w:bidi="ar"/>
        </w:rPr>
        <w:t>RedCap</w:t>
      </w:r>
      <w:proofErr w:type="spellEnd"/>
      <w:r w:rsidRPr="00D2256E">
        <w:rPr>
          <w:rFonts w:eastAsia="宋体" w:cs="Times New Roman"/>
          <w:i/>
          <w:szCs w:val="20"/>
          <w:lang w:bidi="ar"/>
        </w:rPr>
        <w:t xml:space="preserve"> UE, UE capabilities exceeding 1Tx capability </w:t>
      </w:r>
      <w:r w:rsidRPr="00D2256E">
        <w:rPr>
          <w:rFonts w:cs="Times New Roman"/>
          <w:i/>
          <w:szCs w:val="20"/>
          <w:lang w:bidi="ar"/>
        </w:rPr>
        <w:t xml:space="preserve">are </w:t>
      </w:r>
      <w:r w:rsidRPr="00D2256E">
        <w:rPr>
          <w:rFonts w:eastAsia="宋体" w:cs="Times New Roman"/>
          <w:i/>
          <w:szCs w:val="20"/>
          <w:lang w:bidi="ar"/>
        </w:rPr>
        <w:t>not supported.</w:t>
      </w:r>
    </w:p>
    <w:p w:rsidR="00A156BF" w:rsidRPr="00D2256E" w:rsidRDefault="00AD5FE4">
      <w:pPr>
        <w:overflowPunct w:val="0"/>
        <w:autoSpaceDE w:val="0"/>
        <w:autoSpaceDN w:val="0"/>
        <w:adjustRightInd w:val="0"/>
        <w:spacing w:before="120" w:after="120"/>
        <w:textAlignment w:val="baseline"/>
        <w:rPr>
          <w:rFonts w:cs="Times New Roman"/>
          <w:i/>
          <w:szCs w:val="20"/>
          <w:lang w:bidi="ar"/>
        </w:rPr>
      </w:pPr>
      <w:r w:rsidRPr="00D2256E">
        <w:rPr>
          <w:rFonts w:eastAsia="宋体" w:cs="Times New Roman"/>
          <w:b/>
          <w:i/>
          <w:szCs w:val="20"/>
          <w:lang w:bidi="ar"/>
        </w:rPr>
        <w:t xml:space="preserve">Proposal </w:t>
      </w:r>
      <w:r w:rsidRPr="00D2256E">
        <w:rPr>
          <w:rFonts w:cs="Times New Roman"/>
          <w:b/>
          <w:i/>
          <w:szCs w:val="20"/>
          <w:lang w:bidi="ar"/>
        </w:rPr>
        <w:t>5</w:t>
      </w:r>
      <w:r w:rsidRPr="00D2256E">
        <w:rPr>
          <w:rFonts w:eastAsia="宋体" w:cs="Times New Roman"/>
          <w:b/>
          <w:i/>
          <w:szCs w:val="20"/>
          <w:lang w:bidi="ar"/>
        </w:rPr>
        <w:t xml:space="preserve">: </w:t>
      </w:r>
      <w:r w:rsidRPr="00D2256E">
        <w:rPr>
          <w:rFonts w:eastAsia="宋体" w:cs="Times New Roman"/>
          <w:i/>
          <w:szCs w:val="20"/>
          <w:lang w:bidi="ar"/>
        </w:rPr>
        <w:t xml:space="preserve">For </w:t>
      </w:r>
      <w:proofErr w:type="spellStart"/>
      <w:r w:rsidRPr="00D2256E">
        <w:rPr>
          <w:rFonts w:eastAsia="宋体" w:cs="Times New Roman"/>
          <w:i/>
          <w:szCs w:val="20"/>
          <w:lang w:bidi="ar"/>
        </w:rPr>
        <w:t>RedCap</w:t>
      </w:r>
      <w:proofErr w:type="spellEnd"/>
      <w:r w:rsidRPr="00D2256E">
        <w:rPr>
          <w:rFonts w:eastAsia="宋体" w:cs="Times New Roman"/>
          <w:i/>
          <w:szCs w:val="20"/>
          <w:lang w:bidi="ar"/>
        </w:rPr>
        <w:t xml:space="preserve"> UE, whether </w:t>
      </w:r>
      <w:r w:rsidRPr="00D2256E">
        <w:rPr>
          <w:rFonts w:cs="Times New Roman"/>
          <w:i/>
          <w:szCs w:val="20"/>
          <w:lang w:bidi="ar"/>
        </w:rPr>
        <w:t xml:space="preserve">to support </w:t>
      </w:r>
      <w:r w:rsidRPr="00D2256E">
        <w:rPr>
          <w:rFonts w:eastAsia="宋体" w:cs="Times New Roman"/>
          <w:i/>
          <w:szCs w:val="20"/>
          <w:lang w:bidi="ar"/>
        </w:rPr>
        <w:t>Rel-17 features also need</w:t>
      </w:r>
      <w:r w:rsidRPr="00D2256E">
        <w:rPr>
          <w:rFonts w:cs="Times New Roman"/>
          <w:i/>
          <w:szCs w:val="20"/>
          <w:lang w:bidi="ar"/>
        </w:rPr>
        <w:t>s</w:t>
      </w:r>
      <w:r w:rsidRPr="00D2256E">
        <w:rPr>
          <w:rFonts w:eastAsia="宋体" w:cs="Times New Roman"/>
          <w:i/>
          <w:szCs w:val="20"/>
          <w:lang w:bidi="ar"/>
        </w:rPr>
        <w:t xml:space="preserve"> to be determined</w:t>
      </w:r>
      <w:r w:rsidRPr="00D2256E">
        <w:rPr>
          <w:rFonts w:cs="Times New Roman"/>
          <w:i/>
          <w:szCs w:val="20"/>
          <w:lang w:bidi="ar"/>
        </w:rPr>
        <w:t>.</w:t>
      </w:r>
      <w:r w:rsidRPr="00D2256E">
        <w:rPr>
          <w:rFonts w:eastAsia="宋体" w:cs="Times New Roman"/>
          <w:i/>
          <w:szCs w:val="20"/>
          <w:lang w:bidi="ar"/>
        </w:rPr>
        <w:t xml:space="preserve">  </w:t>
      </w:r>
    </w:p>
    <w:p w:rsidR="00A156BF" w:rsidRPr="00D2256E" w:rsidRDefault="00AD5FE4">
      <w:pPr>
        <w:numPr>
          <w:ilvl w:val="0"/>
          <w:numId w:val="10"/>
        </w:numPr>
        <w:overflowPunct w:val="0"/>
        <w:autoSpaceDE w:val="0"/>
        <w:autoSpaceDN w:val="0"/>
        <w:adjustRightInd w:val="0"/>
        <w:spacing w:before="120" w:after="120"/>
        <w:textAlignment w:val="baseline"/>
        <w:rPr>
          <w:rFonts w:cs="Times New Roman"/>
          <w:i/>
          <w:szCs w:val="20"/>
        </w:rPr>
      </w:pPr>
      <w:r w:rsidRPr="00D2256E">
        <w:rPr>
          <w:rFonts w:eastAsia="宋体" w:cs="Times New Roman"/>
          <w:i/>
          <w:szCs w:val="20"/>
          <w:lang w:bidi="ar"/>
        </w:rPr>
        <w:t>The Rel-17</w:t>
      </w:r>
      <w:r w:rsidRPr="00D2256E">
        <w:rPr>
          <w:rFonts w:cs="Times New Roman"/>
          <w:i/>
          <w:szCs w:val="20"/>
          <w:lang w:bidi="ar"/>
        </w:rPr>
        <w:t xml:space="preserve"> </w:t>
      </w:r>
      <w:r w:rsidRPr="00D2256E">
        <w:rPr>
          <w:rFonts w:eastAsia="宋体" w:cs="Times New Roman"/>
          <w:i/>
          <w:szCs w:val="20"/>
          <w:lang w:bidi="ar"/>
        </w:rPr>
        <w:t>features for</w:t>
      </w:r>
      <w:r w:rsidRPr="00D2256E">
        <w:rPr>
          <w:rFonts w:cs="Times New Roman"/>
          <w:i/>
          <w:szCs w:val="20"/>
          <w:lang w:bidi="ar"/>
        </w:rPr>
        <w:t xml:space="preserve"> </w:t>
      </w:r>
      <w:proofErr w:type="spellStart"/>
      <w:r w:rsidRPr="00D2256E">
        <w:rPr>
          <w:rFonts w:eastAsia="宋体" w:cs="Times New Roman"/>
          <w:i/>
          <w:szCs w:val="20"/>
          <w:lang w:bidi="ar"/>
        </w:rPr>
        <w:t>eIAB</w:t>
      </w:r>
      <w:proofErr w:type="spellEnd"/>
      <w:r w:rsidRPr="00D2256E">
        <w:rPr>
          <w:rFonts w:eastAsia="宋体" w:cs="Times New Roman"/>
          <w:i/>
          <w:szCs w:val="20"/>
          <w:lang w:bidi="ar"/>
        </w:rPr>
        <w:t xml:space="preserve"> and NR DC/CA further enhancements should be excluded.</w:t>
      </w:r>
    </w:p>
    <w:p w:rsidR="00A156BF" w:rsidRPr="00D2256E" w:rsidRDefault="00AD5FE4">
      <w:pPr>
        <w:numPr>
          <w:ilvl w:val="0"/>
          <w:numId w:val="10"/>
        </w:numPr>
        <w:overflowPunct w:val="0"/>
        <w:autoSpaceDE w:val="0"/>
        <w:autoSpaceDN w:val="0"/>
        <w:adjustRightInd w:val="0"/>
        <w:spacing w:before="120" w:after="120"/>
        <w:textAlignment w:val="baseline"/>
        <w:rPr>
          <w:rFonts w:cs="Times New Roman"/>
        </w:rPr>
      </w:pPr>
      <w:r w:rsidRPr="00D2256E">
        <w:rPr>
          <w:rFonts w:eastAsia="宋体" w:cs="Times New Roman"/>
          <w:i/>
          <w:szCs w:val="20"/>
          <w:lang w:bidi="ar"/>
        </w:rPr>
        <w:t>The Rel-17</w:t>
      </w:r>
      <w:r w:rsidRPr="00D2256E">
        <w:rPr>
          <w:rFonts w:cs="Times New Roman"/>
          <w:i/>
          <w:szCs w:val="20"/>
          <w:lang w:bidi="ar"/>
        </w:rPr>
        <w:t xml:space="preserve"> </w:t>
      </w:r>
      <w:r w:rsidRPr="00D2256E">
        <w:rPr>
          <w:rFonts w:eastAsia="宋体" w:cs="Times New Roman"/>
          <w:i/>
          <w:szCs w:val="20"/>
          <w:lang w:bidi="ar"/>
        </w:rPr>
        <w:t xml:space="preserve">features for above-52GHz and </w:t>
      </w:r>
      <w:proofErr w:type="spellStart"/>
      <w:r w:rsidRPr="00D2256E">
        <w:rPr>
          <w:rFonts w:eastAsia="宋体" w:cs="Times New Roman"/>
          <w:i/>
          <w:szCs w:val="20"/>
          <w:lang w:bidi="ar"/>
        </w:rPr>
        <w:t>feMIMO</w:t>
      </w:r>
      <w:proofErr w:type="spellEnd"/>
      <w:r w:rsidRPr="00D2256E">
        <w:rPr>
          <w:rFonts w:eastAsia="宋体" w:cs="Times New Roman"/>
          <w:i/>
          <w:szCs w:val="20"/>
          <w:lang w:bidi="ar"/>
        </w:rPr>
        <w:t xml:space="preserve"> are not supported.</w:t>
      </w:r>
    </w:p>
    <w:p w:rsidR="00D2256E" w:rsidRDefault="00D2256E">
      <w:pPr>
        <w:spacing w:before="120"/>
        <w:rPr>
          <w:rFonts w:cs="Times New Roman"/>
          <w:b/>
          <w:bCs/>
          <w:i/>
          <w:iCs/>
          <w:szCs w:val="21"/>
        </w:rPr>
      </w:pPr>
    </w:p>
    <w:p w:rsidR="00D2256E" w:rsidRPr="00D2256E" w:rsidRDefault="00D2256E" w:rsidP="00D2256E">
      <w:pPr>
        <w:spacing w:before="120"/>
        <w:jc w:val="center"/>
        <w:rPr>
          <w:b/>
          <w:bCs/>
          <w:u w:val="single"/>
        </w:rPr>
      </w:pPr>
      <w:r w:rsidRPr="00D2256E">
        <w:rPr>
          <w:b/>
          <w:bCs/>
          <w:u w:val="single"/>
        </w:rPr>
        <w:t>UE features for coverage enhancement</w:t>
      </w:r>
    </w:p>
    <w:p w:rsidR="00A156BF" w:rsidRPr="00D2256E" w:rsidRDefault="00AD5FE4">
      <w:pPr>
        <w:spacing w:before="120"/>
        <w:rPr>
          <w:rFonts w:cs="Times New Roman"/>
          <w:i/>
          <w:iCs/>
          <w:szCs w:val="21"/>
        </w:rPr>
      </w:pPr>
      <w:r w:rsidRPr="00D2256E">
        <w:rPr>
          <w:rFonts w:cs="Times New Roman"/>
          <w:b/>
          <w:bCs/>
          <w:i/>
          <w:iCs/>
          <w:szCs w:val="21"/>
        </w:rPr>
        <w:t xml:space="preserve">Proposal 6: </w:t>
      </w:r>
      <w:r w:rsidRPr="00D2256E">
        <w:rPr>
          <w:rFonts w:cs="Times New Roman"/>
          <w:i/>
          <w:iCs/>
          <w:szCs w:val="21"/>
        </w:rPr>
        <w:t xml:space="preserve">For DMRS bundling related FGs, adopt the following changes.   </w:t>
      </w:r>
    </w:p>
    <w:p w:rsidR="00A156BF" w:rsidRPr="00D2256E" w:rsidRDefault="00AD5FE4">
      <w:pPr>
        <w:numPr>
          <w:ilvl w:val="0"/>
          <w:numId w:val="11"/>
        </w:numPr>
        <w:spacing w:before="120" w:line="280" w:lineRule="atLeast"/>
        <w:rPr>
          <w:rFonts w:cs="Times New Roman"/>
          <w:i/>
          <w:iCs/>
        </w:rPr>
      </w:pPr>
      <w:r w:rsidRPr="00D2256E">
        <w:rPr>
          <w:rFonts w:cs="Times New Roman"/>
          <w:i/>
          <w:iCs/>
        </w:rPr>
        <w:t>Add the following note for UE FG 30-4a, 4b, 4c, and 4d (the four back-to-back cases):</w:t>
      </w:r>
    </w:p>
    <w:tbl>
      <w:tblPr>
        <w:tblStyle w:val="af4"/>
        <w:tblW w:w="0" w:type="auto"/>
        <w:tblLook w:val="04A0" w:firstRow="1" w:lastRow="0" w:firstColumn="1" w:lastColumn="0" w:noHBand="0" w:noVBand="1"/>
      </w:tblPr>
      <w:tblGrid>
        <w:gridCol w:w="9628"/>
      </w:tblGrid>
      <w:tr w:rsidR="00A156BF" w:rsidRPr="00D2256E">
        <w:tc>
          <w:tcPr>
            <w:tcW w:w="9854" w:type="dxa"/>
          </w:tcPr>
          <w:p w:rsidR="00A156BF" w:rsidRPr="00D2256E" w:rsidRDefault="00AD5FE4">
            <w:pPr>
              <w:spacing w:before="120"/>
              <w:ind w:firstLine="280"/>
              <w:rPr>
                <w:rFonts w:cs="Times New Roman"/>
                <w:i/>
                <w:iCs/>
              </w:rPr>
            </w:pPr>
            <w:r w:rsidRPr="00D2256E">
              <w:rPr>
                <w:rFonts w:cs="Times New Roman"/>
                <w:i/>
                <w:iCs/>
              </w:rPr>
              <w:t>Note: This capability is applicable in the following multi-carrier scenarios:</w:t>
            </w:r>
          </w:p>
          <w:p w:rsidR="00A156BF" w:rsidRPr="00D2256E" w:rsidRDefault="00AD5FE4">
            <w:pPr>
              <w:numPr>
                <w:ilvl w:val="0"/>
                <w:numId w:val="12"/>
              </w:numPr>
              <w:spacing w:before="120"/>
              <w:ind w:left="840"/>
              <w:rPr>
                <w:rFonts w:cs="Times New Roman"/>
                <w:i/>
                <w:iCs/>
              </w:rPr>
            </w:pPr>
            <w:r w:rsidRPr="00D2256E">
              <w:rPr>
                <w:rFonts w:cs="Times New Roman"/>
                <w:i/>
                <w:iCs/>
              </w:rPr>
              <w:t xml:space="preserve">  FR1+FR2 CA/DC with one band on FR1 and another band on FR2. DMRS bundling configuration is limited to one uplink NR carrier in total on all FRs at a time.</w:t>
            </w:r>
          </w:p>
          <w:p w:rsidR="00A156BF" w:rsidRPr="00D2256E" w:rsidRDefault="00AD5FE4">
            <w:pPr>
              <w:numPr>
                <w:ilvl w:val="0"/>
                <w:numId w:val="12"/>
              </w:numPr>
              <w:spacing w:before="120"/>
              <w:ind w:left="840"/>
              <w:rPr>
                <w:rFonts w:cs="Times New Roman"/>
                <w:i/>
                <w:iCs/>
                <w:color w:val="000000"/>
                <w:sz w:val="22"/>
              </w:rPr>
            </w:pPr>
            <w:r w:rsidRPr="00D2256E">
              <w:rPr>
                <w:rFonts w:cs="Times New Roman"/>
                <w:i/>
                <w:iCs/>
              </w:rPr>
              <w:t>FR1 inter-band DL CA with a ‘single’ uplink band configured</w:t>
            </w:r>
          </w:p>
          <w:p w:rsidR="00A156BF" w:rsidRPr="00D2256E" w:rsidRDefault="00AD5FE4">
            <w:pPr>
              <w:numPr>
                <w:ilvl w:val="0"/>
                <w:numId w:val="12"/>
              </w:numPr>
              <w:spacing w:before="120"/>
              <w:ind w:left="840"/>
              <w:rPr>
                <w:rFonts w:cs="Times New Roman"/>
                <w:i/>
                <w:iCs/>
                <w:color w:val="000000"/>
                <w:sz w:val="22"/>
              </w:rPr>
            </w:pPr>
            <w:r w:rsidRPr="00D2256E">
              <w:rPr>
                <w:rFonts w:cs="Times New Roman"/>
                <w:i/>
                <w:iCs/>
              </w:rPr>
              <w:t>DL CA with ‘additional’ UL carrier configured with SRS only</w:t>
            </w:r>
          </w:p>
          <w:p w:rsidR="00A156BF" w:rsidRPr="00D2256E" w:rsidRDefault="00AD5FE4">
            <w:pPr>
              <w:numPr>
                <w:ilvl w:val="0"/>
                <w:numId w:val="12"/>
              </w:numPr>
              <w:spacing w:before="120"/>
              <w:ind w:left="840"/>
              <w:rPr>
                <w:rFonts w:cs="Times New Roman"/>
                <w:i/>
                <w:iCs/>
                <w:color w:val="000000"/>
                <w:sz w:val="22"/>
              </w:rPr>
            </w:pPr>
            <w:r w:rsidRPr="00D2256E">
              <w:rPr>
                <w:rFonts w:cs="Times New Roman"/>
                <w:i/>
                <w:iCs/>
              </w:rPr>
              <w:t>SUL, where UE does not expect concurrent uplink transmissions on two carriers in case of SRS on an SUL/non-SUL carrier and PUSCH/PUCCH/SRS on the other UL carrier in the same cell</w:t>
            </w:r>
          </w:p>
          <w:p w:rsidR="00A156BF" w:rsidRPr="00D2256E" w:rsidRDefault="00AD5FE4">
            <w:pPr>
              <w:numPr>
                <w:ilvl w:val="0"/>
                <w:numId w:val="12"/>
              </w:numPr>
              <w:spacing w:before="120"/>
              <w:ind w:left="840"/>
              <w:rPr>
                <w:rFonts w:cs="Times New Roman"/>
                <w:i/>
                <w:iCs/>
                <w:color w:val="000000"/>
                <w:sz w:val="22"/>
              </w:rPr>
            </w:pPr>
            <w:r w:rsidRPr="00D2256E">
              <w:rPr>
                <w:rFonts w:cs="Times New Roman"/>
                <w:i/>
                <w:iCs/>
              </w:rPr>
              <w:t>FR1+FR1 inter-band CA involving two or more FR1 bands, where UE does not expect concurrent uplink transmissions on two carriers</w:t>
            </w:r>
          </w:p>
          <w:p w:rsidR="00A156BF" w:rsidRPr="00D2256E" w:rsidRDefault="00AD5FE4">
            <w:pPr>
              <w:numPr>
                <w:ilvl w:val="1"/>
                <w:numId w:val="12"/>
              </w:numPr>
              <w:spacing w:before="120"/>
              <w:ind w:left="1260"/>
              <w:rPr>
                <w:rFonts w:cs="Times New Roman"/>
                <w:i/>
                <w:iCs/>
              </w:rPr>
            </w:pPr>
            <w:r w:rsidRPr="00D2256E">
              <w:rPr>
                <w:rFonts w:cs="Times New Roman"/>
                <w:i/>
                <w:iCs/>
              </w:rPr>
              <w:t>Only configuration of a single TAG is supported.</w:t>
            </w:r>
          </w:p>
        </w:tc>
      </w:tr>
    </w:tbl>
    <w:p w:rsidR="00A156BF" w:rsidRPr="00D2256E" w:rsidRDefault="00AD5FE4">
      <w:pPr>
        <w:numPr>
          <w:ilvl w:val="0"/>
          <w:numId w:val="11"/>
        </w:numPr>
        <w:spacing w:before="120" w:line="280" w:lineRule="atLeast"/>
        <w:rPr>
          <w:rFonts w:cs="Times New Roman"/>
          <w:i/>
          <w:iCs/>
        </w:rPr>
      </w:pPr>
      <w:r w:rsidRPr="00D2256E">
        <w:rPr>
          <w:rFonts w:cs="Times New Roman"/>
          <w:i/>
          <w:iCs/>
        </w:rPr>
        <w:t>Add the following note for FG 30-4h (non-back-to-back case):</w:t>
      </w:r>
    </w:p>
    <w:tbl>
      <w:tblPr>
        <w:tblStyle w:val="af4"/>
        <w:tblW w:w="0" w:type="auto"/>
        <w:tblLook w:val="04A0" w:firstRow="1" w:lastRow="0" w:firstColumn="1" w:lastColumn="0" w:noHBand="0" w:noVBand="1"/>
      </w:tblPr>
      <w:tblGrid>
        <w:gridCol w:w="9628"/>
      </w:tblGrid>
      <w:tr w:rsidR="00A156BF" w:rsidRPr="00D2256E">
        <w:tc>
          <w:tcPr>
            <w:tcW w:w="9854" w:type="dxa"/>
          </w:tcPr>
          <w:p w:rsidR="00A156BF" w:rsidRPr="00D2256E" w:rsidRDefault="00AD5FE4">
            <w:pPr>
              <w:spacing w:before="120"/>
              <w:rPr>
                <w:rFonts w:cs="Times New Roman"/>
                <w:i/>
                <w:iCs/>
              </w:rPr>
            </w:pPr>
            <w:r w:rsidRPr="00D2256E">
              <w:rPr>
                <w:rFonts w:cs="Times New Roman"/>
                <w:i/>
                <w:iCs/>
              </w:rPr>
              <w:t>Note: This capability is only applicable when UE is configured with single uplink carrier.</w:t>
            </w:r>
          </w:p>
        </w:tc>
      </w:tr>
    </w:tbl>
    <w:p w:rsidR="00A156BF" w:rsidRPr="00D2256E" w:rsidRDefault="00A156BF">
      <w:pPr>
        <w:pStyle w:val="a"/>
        <w:numPr>
          <w:ilvl w:val="0"/>
          <w:numId w:val="0"/>
        </w:numPr>
        <w:spacing w:before="120"/>
        <w:rPr>
          <w:rFonts w:eastAsia="宋体" w:cs="Times New Roman"/>
          <w:b/>
          <w:bCs/>
          <w:i/>
          <w:iCs/>
          <w:szCs w:val="20"/>
        </w:rPr>
      </w:pPr>
    </w:p>
    <w:p w:rsidR="00A156BF" w:rsidRPr="00D2256E" w:rsidRDefault="00AD5FE4">
      <w:pPr>
        <w:pStyle w:val="a"/>
        <w:numPr>
          <w:ilvl w:val="0"/>
          <w:numId w:val="0"/>
        </w:numPr>
        <w:spacing w:before="120"/>
        <w:rPr>
          <w:rFonts w:eastAsia="宋体" w:cs="Times New Roman"/>
          <w:i/>
          <w:iCs/>
          <w:szCs w:val="20"/>
          <w:lang w:val="en-US"/>
        </w:rPr>
      </w:pPr>
      <w:r w:rsidRPr="00D2256E">
        <w:rPr>
          <w:rFonts w:eastAsia="宋体" w:cs="Times New Roman"/>
          <w:b/>
          <w:bCs/>
          <w:i/>
          <w:iCs/>
          <w:szCs w:val="20"/>
        </w:rPr>
        <w:t xml:space="preserve">Proposal </w:t>
      </w:r>
      <w:r w:rsidRPr="00D2256E">
        <w:rPr>
          <w:rFonts w:eastAsia="宋体" w:cs="Times New Roman"/>
          <w:b/>
          <w:bCs/>
          <w:i/>
          <w:iCs/>
          <w:szCs w:val="20"/>
          <w:lang w:val="en-US"/>
        </w:rPr>
        <w:t>7</w:t>
      </w:r>
      <w:r w:rsidRPr="00D2256E">
        <w:rPr>
          <w:rFonts w:eastAsia="宋体" w:cs="Times New Roman"/>
          <w:b/>
          <w:bCs/>
          <w:i/>
          <w:iCs/>
          <w:szCs w:val="20"/>
        </w:rPr>
        <w:t xml:space="preserve">: </w:t>
      </w:r>
      <w:r w:rsidRPr="00D2256E">
        <w:rPr>
          <w:rFonts w:eastAsia="宋体" w:cs="Times New Roman"/>
          <w:i/>
          <w:iCs/>
          <w:szCs w:val="20"/>
          <w:lang w:val="en-US"/>
        </w:rPr>
        <w:t>Reporting type of FGs 30-4a/b/c/d/g/h is per band and per BC.</w:t>
      </w:r>
    </w:p>
    <w:p w:rsidR="00A156BF" w:rsidRPr="00D2256E" w:rsidRDefault="00AD5FE4">
      <w:pPr>
        <w:pStyle w:val="a"/>
        <w:numPr>
          <w:ilvl w:val="0"/>
          <w:numId w:val="0"/>
        </w:numPr>
        <w:spacing w:before="120"/>
        <w:rPr>
          <w:rFonts w:cs="Times New Roman"/>
          <w:highlight w:val="yellow"/>
          <w:lang w:val="en-US"/>
        </w:rPr>
      </w:pPr>
      <w:r w:rsidRPr="00D2256E">
        <w:rPr>
          <w:rFonts w:eastAsia="宋体" w:cs="Times New Roman"/>
          <w:b/>
          <w:bCs/>
          <w:i/>
          <w:iCs/>
          <w:szCs w:val="20"/>
        </w:rPr>
        <w:t xml:space="preserve">Proposal </w:t>
      </w:r>
      <w:r w:rsidRPr="00D2256E">
        <w:rPr>
          <w:rFonts w:eastAsia="宋体" w:cs="Times New Roman"/>
          <w:b/>
          <w:bCs/>
          <w:i/>
          <w:iCs/>
          <w:szCs w:val="20"/>
          <w:lang w:val="en-US"/>
        </w:rPr>
        <w:t>8</w:t>
      </w:r>
      <w:r w:rsidRPr="00D2256E">
        <w:rPr>
          <w:rFonts w:eastAsia="宋体" w:cs="Times New Roman"/>
          <w:b/>
          <w:bCs/>
          <w:i/>
          <w:iCs/>
          <w:szCs w:val="20"/>
        </w:rPr>
        <w:t>:</w:t>
      </w:r>
      <w:r w:rsidRPr="00D2256E">
        <w:rPr>
          <w:rFonts w:eastAsia="宋体" w:cs="Times New Roman"/>
          <w:i/>
          <w:iCs/>
          <w:szCs w:val="20"/>
        </w:rPr>
        <w:t xml:space="preserve"> </w:t>
      </w:r>
      <w:r w:rsidRPr="00D2256E">
        <w:rPr>
          <w:rFonts w:eastAsia="宋体" w:cs="Times New Roman"/>
          <w:i/>
          <w:iCs/>
          <w:szCs w:val="20"/>
          <w:lang w:val="en-US"/>
        </w:rPr>
        <w:t>Reporting type of FGs 30-4e/f is per UE.</w:t>
      </w:r>
    </w:p>
    <w:p w:rsidR="00D2256E" w:rsidRDefault="00D2256E">
      <w:pPr>
        <w:spacing w:before="120"/>
        <w:rPr>
          <w:rFonts w:cs="Times New Roman"/>
          <w:b/>
          <w:i/>
        </w:rPr>
      </w:pPr>
    </w:p>
    <w:p w:rsidR="00D2256E" w:rsidRDefault="00D2256E" w:rsidP="00D2256E">
      <w:pPr>
        <w:spacing w:before="120"/>
        <w:jc w:val="center"/>
        <w:rPr>
          <w:rFonts w:cs="Times New Roman"/>
          <w:b/>
          <w:i/>
        </w:rPr>
      </w:pPr>
      <w:r w:rsidRPr="00D2256E">
        <w:rPr>
          <w:b/>
          <w:bCs/>
          <w:u w:val="single"/>
        </w:rPr>
        <w:t>UE features for MBS</w:t>
      </w:r>
    </w:p>
    <w:p w:rsidR="00A156BF" w:rsidRPr="00D2256E" w:rsidRDefault="00AD5FE4" w:rsidP="00D2256E">
      <w:pPr>
        <w:spacing w:before="120" w:afterLines="50" w:after="120"/>
        <w:rPr>
          <w:rFonts w:cs="Times New Roman"/>
          <w:i/>
        </w:rPr>
      </w:pPr>
      <w:r w:rsidRPr="00D2256E">
        <w:rPr>
          <w:rFonts w:cs="Times New Roman"/>
          <w:b/>
          <w:i/>
        </w:rPr>
        <w:t>Proposal 9</w:t>
      </w:r>
      <w:r w:rsidRPr="00D2256E">
        <w:rPr>
          <w:rFonts w:cs="Times New Roman"/>
          <w:i/>
        </w:rPr>
        <w:t>: Regarding the report type for MBS FG 33-3-3, 33-3-3a, 33-3-3b, 33-3-4, 33-3-5, 33-5-1e, 33-5-1f, 33-5-1g, 33-5-1i, 33-5-2, 33-6-1, 33-6-1a, 33-6-2, 33-6-3, 33-8-1 and 33-9, consider the following as baseline.</w:t>
      </w:r>
    </w:p>
    <w:p w:rsidR="00A156BF" w:rsidRPr="00D2256E" w:rsidRDefault="00AD5FE4" w:rsidP="00D2256E">
      <w:pPr>
        <w:pStyle w:val="a"/>
        <w:numPr>
          <w:ilvl w:val="1"/>
          <w:numId w:val="15"/>
        </w:numPr>
        <w:spacing w:before="120" w:afterLines="50"/>
        <w:rPr>
          <w:rFonts w:cs="Times New Roman"/>
          <w:b/>
          <w:bCs/>
          <w:szCs w:val="21"/>
          <w:u w:val="single"/>
        </w:rPr>
      </w:pPr>
      <w:r w:rsidRPr="00D2256E">
        <w:rPr>
          <w:rFonts w:cs="Times New Roman"/>
          <w:i/>
        </w:rPr>
        <w:t xml:space="preserve">Reporting type is per UE with [FDD/TDD,] FR1/FR2, licensed/unlicensed, and TN/NTN differentiation, detail </w:t>
      </w:r>
      <w:r w:rsidRPr="00D2256E">
        <w:rPr>
          <w:rFonts w:cs="Times New Roman"/>
          <w:i/>
        </w:rPr>
        <w:lastRenderedPageBreak/>
        <w:t>signalling is up to RAN2</w:t>
      </w:r>
    </w:p>
    <w:p w:rsidR="00A156BF" w:rsidRPr="00D2256E" w:rsidRDefault="00AD5FE4" w:rsidP="00D2256E">
      <w:pPr>
        <w:spacing w:before="120" w:afterLines="50" w:after="120"/>
        <w:rPr>
          <w:rFonts w:cs="Times New Roman"/>
          <w:i/>
        </w:rPr>
      </w:pPr>
      <w:r w:rsidRPr="00D2256E">
        <w:rPr>
          <w:rFonts w:cs="Times New Roman"/>
          <w:b/>
          <w:bCs/>
          <w:i/>
          <w:iCs/>
        </w:rPr>
        <w:t xml:space="preserve">Proposal 10: </w:t>
      </w:r>
      <w:r w:rsidRPr="00D2256E">
        <w:rPr>
          <w:rFonts w:cs="Times New Roman"/>
          <w:i/>
          <w:iCs/>
        </w:rPr>
        <w:t>Remove “FFS value of X G-RNTIs” from FG 33-3-3a and 33-3-3b.</w:t>
      </w:r>
    </w:p>
    <w:p w:rsidR="00A156BF" w:rsidRPr="00D2256E" w:rsidRDefault="00AD5FE4" w:rsidP="00D2256E">
      <w:pPr>
        <w:spacing w:before="120" w:afterLines="50" w:after="120"/>
        <w:rPr>
          <w:rFonts w:cs="Times New Roman"/>
          <w:i/>
          <w:iCs/>
        </w:rPr>
      </w:pPr>
      <w:r w:rsidRPr="00D2256E">
        <w:rPr>
          <w:rFonts w:cs="Times New Roman"/>
          <w:b/>
          <w:bCs/>
          <w:i/>
          <w:iCs/>
        </w:rPr>
        <w:t xml:space="preserve">Proposal 11: </w:t>
      </w:r>
      <w:r w:rsidRPr="00D2256E">
        <w:rPr>
          <w:rFonts w:cs="Times New Roman"/>
          <w:i/>
          <w:iCs/>
        </w:rPr>
        <w:t>Remove the brackets of “[on the cell same as multicast initial transmission]” for 33-5-1d.</w:t>
      </w:r>
    </w:p>
    <w:p w:rsidR="00A156BF" w:rsidRPr="00D2256E" w:rsidRDefault="00AD5FE4" w:rsidP="00D2256E">
      <w:pPr>
        <w:spacing w:before="120" w:afterLines="50" w:after="120"/>
        <w:rPr>
          <w:rFonts w:cs="Times New Roman"/>
          <w:b/>
          <w:i/>
        </w:rPr>
      </w:pPr>
      <w:r w:rsidRPr="00D2256E">
        <w:rPr>
          <w:rFonts w:cs="Times New Roman"/>
          <w:b/>
          <w:bCs/>
          <w:i/>
          <w:iCs/>
        </w:rPr>
        <w:t xml:space="preserve">Proposal 12: </w:t>
      </w:r>
      <w:r w:rsidRPr="00D2256E">
        <w:rPr>
          <w:rFonts w:cs="Times New Roman"/>
          <w:i/>
          <w:iCs/>
        </w:rPr>
        <w:t>Add one component in 33-5-1i: Support retransmission scheduled by DCI format 4_2 with CRC scrambled with G-CS-RNTI.</w:t>
      </w:r>
    </w:p>
    <w:p w:rsidR="00A156BF" w:rsidRDefault="00AD5FE4">
      <w:pPr>
        <w:pStyle w:val="1"/>
        <w:rPr>
          <w:lang w:eastAsia="zh-CN"/>
        </w:rPr>
      </w:pPr>
      <w:r>
        <w:rPr>
          <w:rFonts w:hint="eastAsia"/>
          <w:lang w:eastAsia="zh-CN"/>
        </w:rPr>
        <w:t>R</w:t>
      </w:r>
      <w:r>
        <w:rPr>
          <w:lang w:eastAsia="zh-CN"/>
        </w:rPr>
        <w:t>eference</w:t>
      </w:r>
    </w:p>
    <w:p w:rsidR="00A156BF" w:rsidRDefault="00AD5FE4">
      <w:pPr>
        <w:pStyle w:val="References"/>
        <w:spacing w:before="120"/>
        <w:rPr>
          <w:szCs w:val="22"/>
        </w:rPr>
      </w:pPr>
      <w:r>
        <w:rPr>
          <w:rFonts w:hint="eastAsia"/>
          <w:szCs w:val="22"/>
        </w:rPr>
        <w:t xml:space="preserve">3GPP RAN1#110, </w:t>
      </w:r>
      <w:r>
        <w:rPr>
          <w:rFonts w:hint="eastAsia"/>
          <w:szCs w:val="22"/>
          <w:lang w:val="de-DE"/>
        </w:rPr>
        <w:t>R1-2207923</w:t>
      </w:r>
      <w:r>
        <w:rPr>
          <w:rFonts w:hint="eastAsia"/>
          <w:szCs w:val="22"/>
        </w:rPr>
        <w:t xml:space="preserve">, </w:t>
      </w:r>
      <w:r>
        <w:rPr>
          <w:rFonts w:hint="eastAsia"/>
          <w:szCs w:val="22"/>
          <w:lang w:eastAsia="en-US"/>
        </w:rPr>
        <w:t>Updated RAN1 UE features list for Rel-17 NR after RAN1 #110 Thursday</w:t>
      </w:r>
      <w:r>
        <w:rPr>
          <w:rFonts w:hint="eastAsia"/>
          <w:szCs w:val="22"/>
        </w:rPr>
        <w:t xml:space="preserve">, </w:t>
      </w:r>
      <w:r>
        <w:rPr>
          <w:szCs w:val="22"/>
        </w:rPr>
        <w:t>Moderators (AT&amp;T, NTT DOCOMO, INC.)</w:t>
      </w:r>
      <w:r>
        <w:rPr>
          <w:rFonts w:hint="eastAsia"/>
          <w:szCs w:val="22"/>
        </w:rPr>
        <w:t xml:space="preserve">. </w:t>
      </w:r>
    </w:p>
    <w:p w:rsidR="00A156BF" w:rsidRDefault="00AD5FE4">
      <w:pPr>
        <w:pStyle w:val="References"/>
        <w:spacing w:before="120"/>
        <w:rPr>
          <w:szCs w:val="22"/>
        </w:rPr>
      </w:pPr>
      <w:r>
        <w:rPr>
          <w:szCs w:val="22"/>
        </w:rPr>
        <w:t>R1-2208114</w:t>
      </w:r>
      <w:r>
        <w:rPr>
          <w:rFonts w:hint="eastAsia"/>
          <w:szCs w:val="22"/>
        </w:rPr>
        <w:t>,</w:t>
      </w:r>
      <w:r>
        <w:rPr>
          <w:szCs w:val="22"/>
        </w:rPr>
        <w:t xml:space="preserve"> </w:t>
      </w:r>
      <w:r>
        <w:t xml:space="preserve">Summary#3 on UE features for enhanced </w:t>
      </w:r>
      <w:proofErr w:type="spellStart"/>
      <w:r>
        <w:t>IIoT</w:t>
      </w:r>
      <w:proofErr w:type="spellEnd"/>
      <w:r>
        <w:t xml:space="preserve"> and URLLC</w:t>
      </w:r>
      <w:r>
        <w:rPr>
          <w:szCs w:val="22"/>
        </w:rPr>
        <w:t>, Moderators (NTT DOCOMO, INC.)</w:t>
      </w:r>
    </w:p>
    <w:p w:rsidR="00A156BF" w:rsidRDefault="00AD5FE4">
      <w:pPr>
        <w:pStyle w:val="References"/>
        <w:spacing w:before="120"/>
        <w:rPr>
          <w:szCs w:val="22"/>
        </w:rPr>
      </w:pPr>
      <w:r>
        <w:rPr>
          <w:rFonts w:hint="eastAsia"/>
          <w:szCs w:val="22"/>
        </w:rPr>
        <w:t>3GPP, RP-211574, Revised WID on support of reduced capability NR devices, RAN #92, Ericsson.</w:t>
      </w:r>
    </w:p>
    <w:p w:rsidR="00A156BF" w:rsidRDefault="00AD5FE4">
      <w:pPr>
        <w:pStyle w:val="References"/>
        <w:spacing w:before="120"/>
        <w:rPr>
          <w:szCs w:val="22"/>
        </w:rPr>
      </w:pPr>
      <w:r>
        <w:rPr>
          <w:rFonts w:hint="eastAsia"/>
          <w:szCs w:val="22"/>
        </w:rPr>
        <w:t xml:space="preserve">3GPP, R4-2206544, WF on the </w:t>
      </w:r>
      <w:proofErr w:type="spellStart"/>
      <w:r>
        <w:rPr>
          <w:rFonts w:hint="eastAsia"/>
          <w:szCs w:val="22"/>
        </w:rPr>
        <w:t>RedCap</w:t>
      </w:r>
      <w:proofErr w:type="spellEnd"/>
      <w:r>
        <w:rPr>
          <w:rFonts w:hint="eastAsia"/>
          <w:szCs w:val="22"/>
        </w:rPr>
        <w:t xml:space="preserve"> RF, Ericsson.</w:t>
      </w:r>
    </w:p>
    <w:p w:rsidR="00A156BF" w:rsidRDefault="00AD5FE4">
      <w:pPr>
        <w:pStyle w:val="References"/>
        <w:spacing w:before="120"/>
        <w:rPr>
          <w:szCs w:val="22"/>
        </w:rPr>
      </w:pPr>
      <w:r>
        <w:rPr>
          <w:rFonts w:hint="eastAsia"/>
          <w:szCs w:val="22"/>
        </w:rPr>
        <w:t xml:space="preserve">3GPP, R4-2202371, WF on the </w:t>
      </w:r>
      <w:proofErr w:type="spellStart"/>
      <w:r>
        <w:rPr>
          <w:rFonts w:hint="eastAsia"/>
          <w:szCs w:val="22"/>
        </w:rPr>
        <w:t>RedCap</w:t>
      </w:r>
      <w:proofErr w:type="spellEnd"/>
      <w:r>
        <w:rPr>
          <w:rFonts w:hint="eastAsia"/>
          <w:szCs w:val="22"/>
        </w:rPr>
        <w:t xml:space="preserve"> RF, Ericsson.</w:t>
      </w:r>
    </w:p>
    <w:p w:rsidR="00A156BF" w:rsidRDefault="00AD5FE4">
      <w:pPr>
        <w:pStyle w:val="References"/>
        <w:spacing w:before="120"/>
        <w:rPr>
          <w:szCs w:val="22"/>
        </w:rPr>
      </w:pPr>
      <w:r>
        <w:rPr>
          <w:rFonts w:hint="eastAsia"/>
          <w:szCs w:val="22"/>
        </w:rPr>
        <w:t xml:space="preserve">3GPP RAN1#110bis-e, R1-2209461, Discussion on RAN4 LS on DMRS bundling, ZTE. </w:t>
      </w:r>
    </w:p>
    <w:p w:rsidR="00A156BF" w:rsidRDefault="00A156BF">
      <w:pPr>
        <w:pStyle w:val="References"/>
        <w:numPr>
          <w:ilvl w:val="0"/>
          <w:numId w:val="0"/>
        </w:numPr>
        <w:spacing w:before="120" w:after="120"/>
        <w:rPr>
          <w:szCs w:val="22"/>
        </w:rPr>
      </w:pPr>
    </w:p>
    <w:sectPr w:rsidR="00A156BF">
      <w:footerReference w:type="default" r:id="rId13"/>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F9E" w:rsidRDefault="00472F9E">
      <w:pPr>
        <w:spacing w:before="120"/>
      </w:pPr>
      <w:r>
        <w:separator/>
      </w:r>
    </w:p>
  </w:endnote>
  <w:endnote w:type="continuationSeparator" w:id="0">
    <w:p w:rsidR="00472F9E" w:rsidRDefault="00472F9E">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6BF" w:rsidRDefault="00AD5FE4">
    <w:pPr>
      <w:pStyle w:val="ad"/>
      <w:spacing w:before="120"/>
      <w:ind w:right="360"/>
    </w:pPr>
    <w:r>
      <w:rPr>
        <w:rStyle w:val="af6"/>
      </w:rPr>
      <w:fldChar w:fldCharType="begin"/>
    </w:r>
    <w:r>
      <w:rPr>
        <w:rStyle w:val="af6"/>
      </w:rPr>
      <w:instrText xml:space="preserve"> PAGE </w:instrText>
    </w:r>
    <w:r>
      <w:rPr>
        <w:rStyle w:val="af6"/>
      </w:rPr>
      <w:fldChar w:fldCharType="separate"/>
    </w:r>
    <w:r w:rsidR="00397AF2">
      <w:rPr>
        <w:rStyle w:val="af6"/>
        <w:noProof/>
      </w:rPr>
      <w:t>8</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397AF2">
      <w:rPr>
        <w:rStyle w:val="af6"/>
        <w:noProof/>
      </w:rPr>
      <w:t>8</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F9E" w:rsidRDefault="00472F9E">
      <w:pPr>
        <w:spacing w:before="120"/>
      </w:pPr>
      <w:r>
        <w:separator/>
      </w:r>
    </w:p>
  </w:footnote>
  <w:footnote w:type="continuationSeparator" w:id="0">
    <w:p w:rsidR="00472F9E" w:rsidRDefault="00472F9E">
      <w:pPr>
        <w:spacing w:before="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CB011EA"/>
    <w:multiLevelType w:val="multilevel"/>
    <w:tmpl w:val="CCB011EA"/>
    <w:lvl w:ilvl="0">
      <w:start w:val="1"/>
      <w:numFmt w:val="bullet"/>
      <w:lvlText w:val="o"/>
      <w:lvlJc w:val="left"/>
      <w:pPr>
        <w:ind w:left="936" w:hanging="360"/>
      </w:pPr>
      <w:rPr>
        <w:rFonts w:ascii="Courier New" w:hAnsi="Courier New" w:cs="Courier New"/>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15:restartNumberingAfterBreak="0">
    <w:nsid w:val="EF595532"/>
    <w:multiLevelType w:val="multilevel"/>
    <w:tmpl w:val="EF59553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501B98E"/>
    <w:multiLevelType w:val="singleLevel"/>
    <w:tmpl w:val="0501B98E"/>
    <w:lvl w:ilvl="0">
      <w:start w:val="1"/>
      <w:numFmt w:val="bullet"/>
      <w:lvlText w:val=""/>
      <w:lvlJc w:val="left"/>
      <w:pPr>
        <w:ind w:left="420" w:hanging="420"/>
      </w:pPr>
      <w:rPr>
        <w:rFonts w:ascii="Symbol" w:hAnsi="Symbol" w:cs="Symbol"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646584"/>
    <w:multiLevelType w:val="multilevel"/>
    <w:tmpl w:val="2E6465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A145C95"/>
    <w:multiLevelType w:val="singleLevel"/>
    <w:tmpl w:val="4A145C95"/>
    <w:lvl w:ilvl="0">
      <w:start w:val="1"/>
      <w:numFmt w:val="bullet"/>
      <w:lvlText w:val=""/>
      <w:lvlJc w:val="left"/>
      <w:pPr>
        <w:ind w:left="420" w:hanging="42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CEE37F8"/>
    <w:multiLevelType w:val="multilevel"/>
    <w:tmpl w:val="6CEE37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1"/>
  </w:num>
  <w:num w:numId="4">
    <w:abstractNumId w:val="8"/>
  </w:num>
  <w:num w:numId="5">
    <w:abstractNumId w:val="14"/>
  </w:num>
  <w:num w:numId="6">
    <w:abstractNumId w:val="10"/>
  </w:num>
  <w:num w:numId="7">
    <w:abstractNumId w:val="7"/>
  </w:num>
  <w:num w:numId="8">
    <w:abstractNumId w:val="13"/>
  </w:num>
  <w:num w:numId="9">
    <w:abstractNumId w:val="0"/>
  </w:num>
  <w:num w:numId="10">
    <w:abstractNumId w:val="2"/>
  </w:num>
  <w:num w:numId="11">
    <w:abstractNumId w:val="9"/>
  </w:num>
  <w:num w:numId="12">
    <w:abstractNumId w:val="1"/>
  </w:num>
  <w:num w:numId="13">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D80"/>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9C8"/>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29"/>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AF2"/>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22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2F9E"/>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0E3"/>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14"/>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B55"/>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39E"/>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9E2"/>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9C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1C8"/>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26B"/>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6BF"/>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0CB"/>
    <w:rsid w:val="00AC61B3"/>
    <w:rsid w:val="00AC63F4"/>
    <w:rsid w:val="00AC6786"/>
    <w:rsid w:val="00AC6CE6"/>
    <w:rsid w:val="00AC7470"/>
    <w:rsid w:val="00AC7A48"/>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5FE4"/>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041"/>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C04"/>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56E"/>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27CCC"/>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0F5"/>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2FC"/>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23"/>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742EF"/>
    <w:rsid w:val="01342C69"/>
    <w:rsid w:val="01C02D2B"/>
    <w:rsid w:val="01FE6F5B"/>
    <w:rsid w:val="0208355B"/>
    <w:rsid w:val="0228590E"/>
    <w:rsid w:val="02597FE3"/>
    <w:rsid w:val="02840045"/>
    <w:rsid w:val="0284643E"/>
    <w:rsid w:val="02BA1A32"/>
    <w:rsid w:val="02DE0FA4"/>
    <w:rsid w:val="02F00014"/>
    <w:rsid w:val="03491DE6"/>
    <w:rsid w:val="03532C3F"/>
    <w:rsid w:val="036C3EB5"/>
    <w:rsid w:val="03B25C4C"/>
    <w:rsid w:val="03B8120C"/>
    <w:rsid w:val="03C40161"/>
    <w:rsid w:val="03C6610F"/>
    <w:rsid w:val="03D954BA"/>
    <w:rsid w:val="03F94E83"/>
    <w:rsid w:val="03FC4856"/>
    <w:rsid w:val="04242045"/>
    <w:rsid w:val="043307F7"/>
    <w:rsid w:val="047B2F15"/>
    <w:rsid w:val="04947089"/>
    <w:rsid w:val="04B262B0"/>
    <w:rsid w:val="04CA1A9C"/>
    <w:rsid w:val="04F8723E"/>
    <w:rsid w:val="0531717B"/>
    <w:rsid w:val="054B20E6"/>
    <w:rsid w:val="056118F6"/>
    <w:rsid w:val="05AC06CA"/>
    <w:rsid w:val="05F20AC2"/>
    <w:rsid w:val="0601039C"/>
    <w:rsid w:val="0601345C"/>
    <w:rsid w:val="062051AD"/>
    <w:rsid w:val="06497220"/>
    <w:rsid w:val="067D4C1C"/>
    <w:rsid w:val="06B1194E"/>
    <w:rsid w:val="06B127E5"/>
    <w:rsid w:val="06E164C8"/>
    <w:rsid w:val="072F2729"/>
    <w:rsid w:val="0771684D"/>
    <w:rsid w:val="07C21FA9"/>
    <w:rsid w:val="07D741A0"/>
    <w:rsid w:val="08601D36"/>
    <w:rsid w:val="088408CF"/>
    <w:rsid w:val="08E35FF6"/>
    <w:rsid w:val="08FE07E9"/>
    <w:rsid w:val="090034F8"/>
    <w:rsid w:val="0936679B"/>
    <w:rsid w:val="09430CAF"/>
    <w:rsid w:val="0957797D"/>
    <w:rsid w:val="0972706B"/>
    <w:rsid w:val="097B4011"/>
    <w:rsid w:val="097E2358"/>
    <w:rsid w:val="099D5069"/>
    <w:rsid w:val="09C21BB6"/>
    <w:rsid w:val="09ED5A03"/>
    <w:rsid w:val="0A45626B"/>
    <w:rsid w:val="0A867EAB"/>
    <w:rsid w:val="0ACC64BA"/>
    <w:rsid w:val="0ADB199B"/>
    <w:rsid w:val="0AFC60B7"/>
    <w:rsid w:val="0B016F8E"/>
    <w:rsid w:val="0B130D46"/>
    <w:rsid w:val="0B4320C8"/>
    <w:rsid w:val="0B60783C"/>
    <w:rsid w:val="0B8420FC"/>
    <w:rsid w:val="0B93585A"/>
    <w:rsid w:val="0BAD7041"/>
    <w:rsid w:val="0C145B9A"/>
    <w:rsid w:val="0C47234D"/>
    <w:rsid w:val="0C601384"/>
    <w:rsid w:val="0C6F5654"/>
    <w:rsid w:val="0C6F774E"/>
    <w:rsid w:val="0CBF14AA"/>
    <w:rsid w:val="0CCE75B0"/>
    <w:rsid w:val="0CE87C23"/>
    <w:rsid w:val="0D126CFE"/>
    <w:rsid w:val="0D132BA9"/>
    <w:rsid w:val="0D523CB6"/>
    <w:rsid w:val="0D605DDB"/>
    <w:rsid w:val="0D660AC2"/>
    <w:rsid w:val="0D672BF6"/>
    <w:rsid w:val="0D672CB7"/>
    <w:rsid w:val="0D9A5697"/>
    <w:rsid w:val="0DB040D2"/>
    <w:rsid w:val="0DD007ED"/>
    <w:rsid w:val="0E093166"/>
    <w:rsid w:val="0E120AD5"/>
    <w:rsid w:val="0E280D83"/>
    <w:rsid w:val="0E2C5FCA"/>
    <w:rsid w:val="0E2F04CE"/>
    <w:rsid w:val="0E5647B2"/>
    <w:rsid w:val="0E970D03"/>
    <w:rsid w:val="0E9D66FA"/>
    <w:rsid w:val="0EB06FFE"/>
    <w:rsid w:val="0EE26D0E"/>
    <w:rsid w:val="0F3A0DFC"/>
    <w:rsid w:val="0F8B6ED9"/>
    <w:rsid w:val="0FAC4C44"/>
    <w:rsid w:val="0FF718DD"/>
    <w:rsid w:val="100237F2"/>
    <w:rsid w:val="10150A41"/>
    <w:rsid w:val="102175BA"/>
    <w:rsid w:val="105F3678"/>
    <w:rsid w:val="106C6358"/>
    <w:rsid w:val="109A37B8"/>
    <w:rsid w:val="10CC40CD"/>
    <w:rsid w:val="10DF6B18"/>
    <w:rsid w:val="10F17986"/>
    <w:rsid w:val="116332A0"/>
    <w:rsid w:val="11825782"/>
    <w:rsid w:val="11E10B49"/>
    <w:rsid w:val="11F042A3"/>
    <w:rsid w:val="12033CC4"/>
    <w:rsid w:val="1257267A"/>
    <w:rsid w:val="12920A79"/>
    <w:rsid w:val="12A472D8"/>
    <w:rsid w:val="12F10C91"/>
    <w:rsid w:val="12FE321B"/>
    <w:rsid w:val="130859B8"/>
    <w:rsid w:val="13250A10"/>
    <w:rsid w:val="13576BA2"/>
    <w:rsid w:val="13626497"/>
    <w:rsid w:val="13805E87"/>
    <w:rsid w:val="13881E43"/>
    <w:rsid w:val="139B225E"/>
    <w:rsid w:val="13BB7694"/>
    <w:rsid w:val="13CF64E5"/>
    <w:rsid w:val="13D65AA3"/>
    <w:rsid w:val="13FD72BF"/>
    <w:rsid w:val="14045C61"/>
    <w:rsid w:val="141716E8"/>
    <w:rsid w:val="141F2191"/>
    <w:rsid w:val="142057BA"/>
    <w:rsid w:val="14474003"/>
    <w:rsid w:val="14836510"/>
    <w:rsid w:val="14BE2C70"/>
    <w:rsid w:val="14FC642E"/>
    <w:rsid w:val="15194BA9"/>
    <w:rsid w:val="15313C9C"/>
    <w:rsid w:val="153D2A65"/>
    <w:rsid w:val="1575AEB2"/>
    <w:rsid w:val="159D08E1"/>
    <w:rsid w:val="16237C27"/>
    <w:rsid w:val="162D508B"/>
    <w:rsid w:val="164F7F6D"/>
    <w:rsid w:val="165E068A"/>
    <w:rsid w:val="16787FC0"/>
    <w:rsid w:val="168B222B"/>
    <w:rsid w:val="16C32AB2"/>
    <w:rsid w:val="16C803D4"/>
    <w:rsid w:val="16D87E87"/>
    <w:rsid w:val="16F71CBD"/>
    <w:rsid w:val="1702D3F2"/>
    <w:rsid w:val="172D5AD7"/>
    <w:rsid w:val="177825E4"/>
    <w:rsid w:val="17B2539F"/>
    <w:rsid w:val="17B618BE"/>
    <w:rsid w:val="17C16304"/>
    <w:rsid w:val="17FD4F87"/>
    <w:rsid w:val="182E3FB5"/>
    <w:rsid w:val="18306948"/>
    <w:rsid w:val="1880153C"/>
    <w:rsid w:val="188D2058"/>
    <w:rsid w:val="18BA5FCF"/>
    <w:rsid w:val="18BA7603"/>
    <w:rsid w:val="18BC0096"/>
    <w:rsid w:val="18FD3F86"/>
    <w:rsid w:val="190D2663"/>
    <w:rsid w:val="190E5702"/>
    <w:rsid w:val="192B740B"/>
    <w:rsid w:val="1934624A"/>
    <w:rsid w:val="19497C62"/>
    <w:rsid w:val="19507DD1"/>
    <w:rsid w:val="195D7DA5"/>
    <w:rsid w:val="19772E49"/>
    <w:rsid w:val="1988184A"/>
    <w:rsid w:val="19D346F3"/>
    <w:rsid w:val="1A0134CD"/>
    <w:rsid w:val="1A2A0E2C"/>
    <w:rsid w:val="1A3A188A"/>
    <w:rsid w:val="1A514204"/>
    <w:rsid w:val="1A9E0E89"/>
    <w:rsid w:val="1AB16FB0"/>
    <w:rsid w:val="1AB3024B"/>
    <w:rsid w:val="1B0615F0"/>
    <w:rsid w:val="1B2E6DC7"/>
    <w:rsid w:val="1B5316CE"/>
    <w:rsid w:val="1B5E59D2"/>
    <w:rsid w:val="1B6520FD"/>
    <w:rsid w:val="1B8F449F"/>
    <w:rsid w:val="1BAF1365"/>
    <w:rsid w:val="1BC37BF1"/>
    <w:rsid w:val="1C0F0E93"/>
    <w:rsid w:val="1C3354D7"/>
    <w:rsid w:val="1C3C1EA1"/>
    <w:rsid w:val="1C766428"/>
    <w:rsid w:val="1C872C74"/>
    <w:rsid w:val="1C8F64AA"/>
    <w:rsid w:val="1CAE40E5"/>
    <w:rsid w:val="1CB62A0D"/>
    <w:rsid w:val="1CF276A6"/>
    <w:rsid w:val="1D216CFB"/>
    <w:rsid w:val="1DD50930"/>
    <w:rsid w:val="1DE86DCC"/>
    <w:rsid w:val="1DF407BB"/>
    <w:rsid w:val="1E2278A7"/>
    <w:rsid w:val="1E38003B"/>
    <w:rsid w:val="1E437DE3"/>
    <w:rsid w:val="1E5E49BF"/>
    <w:rsid w:val="1E9E27B5"/>
    <w:rsid w:val="1EC6472F"/>
    <w:rsid w:val="1ECA601F"/>
    <w:rsid w:val="1F2B19E6"/>
    <w:rsid w:val="1F801EB6"/>
    <w:rsid w:val="1F801F22"/>
    <w:rsid w:val="1F850095"/>
    <w:rsid w:val="1FB91CD0"/>
    <w:rsid w:val="1FE04229"/>
    <w:rsid w:val="202D7773"/>
    <w:rsid w:val="20582ABA"/>
    <w:rsid w:val="20910CB1"/>
    <w:rsid w:val="20AD2940"/>
    <w:rsid w:val="20B62C40"/>
    <w:rsid w:val="20C05CF0"/>
    <w:rsid w:val="20CD42FE"/>
    <w:rsid w:val="21035A99"/>
    <w:rsid w:val="211F426B"/>
    <w:rsid w:val="21282288"/>
    <w:rsid w:val="21311E54"/>
    <w:rsid w:val="2186272B"/>
    <w:rsid w:val="21C5256D"/>
    <w:rsid w:val="21E043FC"/>
    <w:rsid w:val="220232AD"/>
    <w:rsid w:val="221E544A"/>
    <w:rsid w:val="222E1626"/>
    <w:rsid w:val="223252A1"/>
    <w:rsid w:val="2234455E"/>
    <w:rsid w:val="22364A51"/>
    <w:rsid w:val="224B500D"/>
    <w:rsid w:val="226A1630"/>
    <w:rsid w:val="228C3B83"/>
    <w:rsid w:val="228E4F73"/>
    <w:rsid w:val="22C23150"/>
    <w:rsid w:val="234F4A54"/>
    <w:rsid w:val="23680C07"/>
    <w:rsid w:val="237027D0"/>
    <w:rsid w:val="23757B55"/>
    <w:rsid w:val="239E142D"/>
    <w:rsid w:val="23A25FED"/>
    <w:rsid w:val="23AD4AB0"/>
    <w:rsid w:val="23CD5ED8"/>
    <w:rsid w:val="23E1451F"/>
    <w:rsid w:val="24212A88"/>
    <w:rsid w:val="242246F4"/>
    <w:rsid w:val="24492384"/>
    <w:rsid w:val="244F0187"/>
    <w:rsid w:val="245870DE"/>
    <w:rsid w:val="246E0D05"/>
    <w:rsid w:val="247247A7"/>
    <w:rsid w:val="2473146A"/>
    <w:rsid w:val="24CC483B"/>
    <w:rsid w:val="24DF5BCE"/>
    <w:rsid w:val="253A1CB9"/>
    <w:rsid w:val="258D43BC"/>
    <w:rsid w:val="25FD15D3"/>
    <w:rsid w:val="262831E8"/>
    <w:rsid w:val="267C047B"/>
    <w:rsid w:val="26976865"/>
    <w:rsid w:val="26F01171"/>
    <w:rsid w:val="272353C8"/>
    <w:rsid w:val="27257285"/>
    <w:rsid w:val="27371CBF"/>
    <w:rsid w:val="27671489"/>
    <w:rsid w:val="276E4004"/>
    <w:rsid w:val="27C5366D"/>
    <w:rsid w:val="27D97657"/>
    <w:rsid w:val="27DD67CA"/>
    <w:rsid w:val="27FF6D58"/>
    <w:rsid w:val="28690808"/>
    <w:rsid w:val="28B07E55"/>
    <w:rsid w:val="28B54AA2"/>
    <w:rsid w:val="28CF4B4F"/>
    <w:rsid w:val="28DD01D6"/>
    <w:rsid w:val="292B53F0"/>
    <w:rsid w:val="294D6347"/>
    <w:rsid w:val="29FF4CFC"/>
    <w:rsid w:val="2A0D65AA"/>
    <w:rsid w:val="2A0F0B23"/>
    <w:rsid w:val="2A4B665B"/>
    <w:rsid w:val="2A5B00AC"/>
    <w:rsid w:val="2A6D2F10"/>
    <w:rsid w:val="2A951FD8"/>
    <w:rsid w:val="2A9A76B0"/>
    <w:rsid w:val="2AAE24A9"/>
    <w:rsid w:val="2AB91175"/>
    <w:rsid w:val="2AEB6628"/>
    <w:rsid w:val="2AFE2B7E"/>
    <w:rsid w:val="2B10276D"/>
    <w:rsid w:val="2B62344B"/>
    <w:rsid w:val="2B762CE0"/>
    <w:rsid w:val="2B7B4F0A"/>
    <w:rsid w:val="2BA24B47"/>
    <w:rsid w:val="2BB23BC1"/>
    <w:rsid w:val="2C6571AE"/>
    <w:rsid w:val="2C920D7A"/>
    <w:rsid w:val="2CA47C45"/>
    <w:rsid w:val="2CB0777A"/>
    <w:rsid w:val="2CCE1857"/>
    <w:rsid w:val="2D0C7472"/>
    <w:rsid w:val="2D287964"/>
    <w:rsid w:val="2D376513"/>
    <w:rsid w:val="2D621139"/>
    <w:rsid w:val="2D7A57B8"/>
    <w:rsid w:val="2DC863F1"/>
    <w:rsid w:val="2DEA2DFA"/>
    <w:rsid w:val="2E2E0DF4"/>
    <w:rsid w:val="2E6074F7"/>
    <w:rsid w:val="2E643FFD"/>
    <w:rsid w:val="2E8D4F93"/>
    <w:rsid w:val="2E957E90"/>
    <w:rsid w:val="2EA8197C"/>
    <w:rsid w:val="2EB72406"/>
    <w:rsid w:val="2ED02B62"/>
    <w:rsid w:val="2F2367DE"/>
    <w:rsid w:val="2F414FFB"/>
    <w:rsid w:val="2F436AE1"/>
    <w:rsid w:val="2F5758D7"/>
    <w:rsid w:val="2F623D74"/>
    <w:rsid w:val="2F9B3DA6"/>
    <w:rsid w:val="2FAC7A24"/>
    <w:rsid w:val="2FFA0C0B"/>
    <w:rsid w:val="303A67A0"/>
    <w:rsid w:val="304A0FFA"/>
    <w:rsid w:val="30BA18F4"/>
    <w:rsid w:val="30E4415F"/>
    <w:rsid w:val="30E5380F"/>
    <w:rsid w:val="30FE551D"/>
    <w:rsid w:val="31341265"/>
    <w:rsid w:val="313B2BB0"/>
    <w:rsid w:val="31542D3B"/>
    <w:rsid w:val="317D0107"/>
    <w:rsid w:val="318753A2"/>
    <w:rsid w:val="3197488E"/>
    <w:rsid w:val="31A66294"/>
    <w:rsid w:val="31E02CFE"/>
    <w:rsid w:val="320F079F"/>
    <w:rsid w:val="322E37DA"/>
    <w:rsid w:val="325F1F99"/>
    <w:rsid w:val="32832752"/>
    <w:rsid w:val="328A5AEF"/>
    <w:rsid w:val="32C8762E"/>
    <w:rsid w:val="32FE23BF"/>
    <w:rsid w:val="330B3922"/>
    <w:rsid w:val="330E6893"/>
    <w:rsid w:val="33987B7F"/>
    <w:rsid w:val="33DE0CB9"/>
    <w:rsid w:val="34397575"/>
    <w:rsid w:val="34AA3B0D"/>
    <w:rsid w:val="34E22A09"/>
    <w:rsid w:val="34E657BF"/>
    <w:rsid w:val="3511129D"/>
    <w:rsid w:val="35300539"/>
    <w:rsid w:val="354612D6"/>
    <w:rsid w:val="354D1AD7"/>
    <w:rsid w:val="35574307"/>
    <w:rsid w:val="355B1284"/>
    <w:rsid w:val="357145A7"/>
    <w:rsid w:val="35903D81"/>
    <w:rsid w:val="359455FE"/>
    <w:rsid w:val="35A851F7"/>
    <w:rsid w:val="35E34A2C"/>
    <w:rsid w:val="35E44278"/>
    <w:rsid w:val="3611566F"/>
    <w:rsid w:val="36252993"/>
    <w:rsid w:val="368C2B13"/>
    <w:rsid w:val="36A727AD"/>
    <w:rsid w:val="36CD07B0"/>
    <w:rsid w:val="36CE57C7"/>
    <w:rsid w:val="36E84E34"/>
    <w:rsid w:val="3745134E"/>
    <w:rsid w:val="375C57D7"/>
    <w:rsid w:val="378078FE"/>
    <w:rsid w:val="37C74DD6"/>
    <w:rsid w:val="37CA7049"/>
    <w:rsid w:val="37DD651E"/>
    <w:rsid w:val="38474D1C"/>
    <w:rsid w:val="3853699C"/>
    <w:rsid w:val="38722AB2"/>
    <w:rsid w:val="38817DB3"/>
    <w:rsid w:val="388F41CD"/>
    <w:rsid w:val="38AD772A"/>
    <w:rsid w:val="38BA113F"/>
    <w:rsid w:val="39013B60"/>
    <w:rsid w:val="39054468"/>
    <w:rsid w:val="391E58E2"/>
    <w:rsid w:val="394B1C88"/>
    <w:rsid w:val="39684D9F"/>
    <w:rsid w:val="398F20F0"/>
    <w:rsid w:val="39DE56A8"/>
    <w:rsid w:val="39F97BC0"/>
    <w:rsid w:val="3A070D59"/>
    <w:rsid w:val="3A135075"/>
    <w:rsid w:val="3A801FE7"/>
    <w:rsid w:val="3A8424B5"/>
    <w:rsid w:val="3AB31D0C"/>
    <w:rsid w:val="3ACD164B"/>
    <w:rsid w:val="3B052900"/>
    <w:rsid w:val="3B266424"/>
    <w:rsid w:val="3B3E081B"/>
    <w:rsid w:val="3B4A3B53"/>
    <w:rsid w:val="3BBB3A8A"/>
    <w:rsid w:val="3BC52FDF"/>
    <w:rsid w:val="3BE20E3F"/>
    <w:rsid w:val="3BF47021"/>
    <w:rsid w:val="3C130981"/>
    <w:rsid w:val="3C371097"/>
    <w:rsid w:val="3C923082"/>
    <w:rsid w:val="3CD2366A"/>
    <w:rsid w:val="3D0354C7"/>
    <w:rsid w:val="3D7642C9"/>
    <w:rsid w:val="3D7B79B6"/>
    <w:rsid w:val="3DB03D12"/>
    <w:rsid w:val="3DDA6D42"/>
    <w:rsid w:val="3DF01C50"/>
    <w:rsid w:val="3E0A19C3"/>
    <w:rsid w:val="3E0B17C8"/>
    <w:rsid w:val="3E100336"/>
    <w:rsid w:val="3E7347F4"/>
    <w:rsid w:val="3EDE67A7"/>
    <w:rsid w:val="3EF56F74"/>
    <w:rsid w:val="3EF83C43"/>
    <w:rsid w:val="3EFF7689"/>
    <w:rsid w:val="3F01664D"/>
    <w:rsid w:val="3F175FC8"/>
    <w:rsid w:val="3F360011"/>
    <w:rsid w:val="3F741743"/>
    <w:rsid w:val="3F9B5F77"/>
    <w:rsid w:val="3F9E6E2A"/>
    <w:rsid w:val="3FAE0740"/>
    <w:rsid w:val="3FB71DD9"/>
    <w:rsid w:val="3FD010A5"/>
    <w:rsid w:val="3FD129B7"/>
    <w:rsid w:val="3FD40385"/>
    <w:rsid w:val="40217C49"/>
    <w:rsid w:val="40725E8B"/>
    <w:rsid w:val="40850DCD"/>
    <w:rsid w:val="40A53E0D"/>
    <w:rsid w:val="40D7456D"/>
    <w:rsid w:val="41450024"/>
    <w:rsid w:val="41687FE9"/>
    <w:rsid w:val="41943512"/>
    <w:rsid w:val="41AC1D9C"/>
    <w:rsid w:val="41AE54F1"/>
    <w:rsid w:val="41E35BC4"/>
    <w:rsid w:val="4242619A"/>
    <w:rsid w:val="424D4C79"/>
    <w:rsid w:val="429273B3"/>
    <w:rsid w:val="42A3152E"/>
    <w:rsid w:val="42B20782"/>
    <w:rsid w:val="42E8146B"/>
    <w:rsid w:val="430D1D3A"/>
    <w:rsid w:val="43DF1CE9"/>
    <w:rsid w:val="43E44EE1"/>
    <w:rsid w:val="443169A5"/>
    <w:rsid w:val="44847B5A"/>
    <w:rsid w:val="44882F38"/>
    <w:rsid w:val="44917C93"/>
    <w:rsid w:val="44C7170D"/>
    <w:rsid w:val="454C2E5B"/>
    <w:rsid w:val="45605155"/>
    <w:rsid w:val="459F38EA"/>
    <w:rsid w:val="45F31D89"/>
    <w:rsid w:val="4611346C"/>
    <w:rsid w:val="46342EAF"/>
    <w:rsid w:val="46423E7D"/>
    <w:rsid w:val="466D796D"/>
    <w:rsid w:val="46D41E44"/>
    <w:rsid w:val="46DF2E27"/>
    <w:rsid w:val="47344D1B"/>
    <w:rsid w:val="474A33D4"/>
    <w:rsid w:val="47625EC6"/>
    <w:rsid w:val="47934075"/>
    <w:rsid w:val="47AE2F53"/>
    <w:rsid w:val="47FA55AA"/>
    <w:rsid w:val="4811231A"/>
    <w:rsid w:val="48156378"/>
    <w:rsid w:val="485433AD"/>
    <w:rsid w:val="489C4E34"/>
    <w:rsid w:val="48EC5F36"/>
    <w:rsid w:val="48ED31B2"/>
    <w:rsid w:val="490D4A45"/>
    <w:rsid w:val="49360A33"/>
    <w:rsid w:val="49446ABC"/>
    <w:rsid w:val="496938E0"/>
    <w:rsid w:val="49882B35"/>
    <w:rsid w:val="499E4119"/>
    <w:rsid w:val="49C50E28"/>
    <w:rsid w:val="49EA4E59"/>
    <w:rsid w:val="4A0B4655"/>
    <w:rsid w:val="4ACC602E"/>
    <w:rsid w:val="4AF05358"/>
    <w:rsid w:val="4B376AF3"/>
    <w:rsid w:val="4B3872E6"/>
    <w:rsid w:val="4B8523F6"/>
    <w:rsid w:val="4B970466"/>
    <w:rsid w:val="4C236D28"/>
    <w:rsid w:val="4CA149AE"/>
    <w:rsid w:val="4CCE1F96"/>
    <w:rsid w:val="4D107219"/>
    <w:rsid w:val="4D186E30"/>
    <w:rsid w:val="4D30690D"/>
    <w:rsid w:val="4D366489"/>
    <w:rsid w:val="4D374C67"/>
    <w:rsid w:val="4D4C32B9"/>
    <w:rsid w:val="4D924E52"/>
    <w:rsid w:val="4DF171E9"/>
    <w:rsid w:val="4DF51404"/>
    <w:rsid w:val="4E151E4F"/>
    <w:rsid w:val="4E5633F4"/>
    <w:rsid w:val="4E7740D9"/>
    <w:rsid w:val="4EAC0AFF"/>
    <w:rsid w:val="4EBD323F"/>
    <w:rsid w:val="4EC2021D"/>
    <w:rsid w:val="4ED81A88"/>
    <w:rsid w:val="4F786A18"/>
    <w:rsid w:val="4FF94A0E"/>
    <w:rsid w:val="50182280"/>
    <w:rsid w:val="502E7E01"/>
    <w:rsid w:val="50683776"/>
    <w:rsid w:val="50A33341"/>
    <w:rsid w:val="50A6345B"/>
    <w:rsid w:val="50DC5F24"/>
    <w:rsid w:val="50FD13B2"/>
    <w:rsid w:val="511643DC"/>
    <w:rsid w:val="516C0756"/>
    <w:rsid w:val="51BA2417"/>
    <w:rsid w:val="51CD551C"/>
    <w:rsid w:val="521D41F0"/>
    <w:rsid w:val="522D3B9B"/>
    <w:rsid w:val="525D2CAE"/>
    <w:rsid w:val="52955D9E"/>
    <w:rsid w:val="52AE3CC1"/>
    <w:rsid w:val="52E01C87"/>
    <w:rsid w:val="52FE30BB"/>
    <w:rsid w:val="536E79E7"/>
    <w:rsid w:val="538265F1"/>
    <w:rsid w:val="538614B5"/>
    <w:rsid w:val="539A2E76"/>
    <w:rsid w:val="54122D56"/>
    <w:rsid w:val="546D7855"/>
    <w:rsid w:val="548F10EC"/>
    <w:rsid w:val="54A21C09"/>
    <w:rsid w:val="54A950D4"/>
    <w:rsid w:val="54CE2507"/>
    <w:rsid w:val="54F04197"/>
    <w:rsid w:val="5506030E"/>
    <w:rsid w:val="55181CD2"/>
    <w:rsid w:val="553117D6"/>
    <w:rsid w:val="55396BD9"/>
    <w:rsid w:val="554673FA"/>
    <w:rsid w:val="556D32BA"/>
    <w:rsid w:val="557B55B4"/>
    <w:rsid w:val="558471E4"/>
    <w:rsid w:val="55A85C36"/>
    <w:rsid w:val="55C601A9"/>
    <w:rsid w:val="55D01D97"/>
    <w:rsid w:val="561A3DF3"/>
    <w:rsid w:val="562312C7"/>
    <w:rsid w:val="562D38C0"/>
    <w:rsid w:val="563B3A53"/>
    <w:rsid w:val="564027E7"/>
    <w:rsid w:val="564C2D24"/>
    <w:rsid w:val="566871E5"/>
    <w:rsid w:val="567015A3"/>
    <w:rsid w:val="567922E4"/>
    <w:rsid w:val="570D62EC"/>
    <w:rsid w:val="57244B18"/>
    <w:rsid w:val="57970550"/>
    <w:rsid w:val="57AE53A3"/>
    <w:rsid w:val="57C063CF"/>
    <w:rsid w:val="57E13D3A"/>
    <w:rsid w:val="57EF6871"/>
    <w:rsid w:val="582101C2"/>
    <w:rsid w:val="58240039"/>
    <w:rsid w:val="58420D1B"/>
    <w:rsid w:val="588D0679"/>
    <w:rsid w:val="58A60F1F"/>
    <w:rsid w:val="58B25F37"/>
    <w:rsid w:val="58EF448E"/>
    <w:rsid w:val="595A121E"/>
    <w:rsid w:val="595B513F"/>
    <w:rsid w:val="59A36873"/>
    <w:rsid w:val="59AA125B"/>
    <w:rsid w:val="59C75644"/>
    <w:rsid w:val="59ED39F8"/>
    <w:rsid w:val="5A521031"/>
    <w:rsid w:val="5A670393"/>
    <w:rsid w:val="5A7D53A5"/>
    <w:rsid w:val="5A7F616E"/>
    <w:rsid w:val="5AA021A5"/>
    <w:rsid w:val="5ACF7C62"/>
    <w:rsid w:val="5AD66DD9"/>
    <w:rsid w:val="5AF07FF7"/>
    <w:rsid w:val="5AF422E5"/>
    <w:rsid w:val="5B9B4D5B"/>
    <w:rsid w:val="5BB933AC"/>
    <w:rsid w:val="5BF26431"/>
    <w:rsid w:val="5C0A4681"/>
    <w:rsid w:val="5C215A71"/>
    <w:rsid w:val="5C6956CE"/>
    <w:rsid w:val="5CB925D4"/>
    <w:rsid w:val="5CF054D0"/>
    <w:rsid w:val="5CFD1474"/>
    <w:rsid w:val="5D074DD0"/>
    <w:rsid w:val="5D2D7179"/>
    <w:rsid w:val="5D3A6218"/>
    <w:rsid w:val="5D426E22"/>
    <w:rsid w:val="5D7B08F3"/>
    <w:rsid w:val="5DC71933"/>
    <w:rsid w:val="5DCD6EAA"/>
    <w:rsid w:val="5DDB558D"/>
    <w:rsid w:val="5DE640EE"/>
    <w:rsid w:val="5E0060A2"/>
    <w:rsid w:val="5E1D0D4D"/>
    <w:rsid w:val="5E333D72"/>
    <w:rsid w:val="5E4D7057"/>
    <w:rsid w:val="5E725DEA"/>
    <w:rsid w:val="5E7343AC"/>
    <w:rsid w:val="5E780DEA"/>
    <w:rsid w:val="5E7B7C15"/>
    <w:rsid w:val="5EAE31D2"/>
    <w:rsid w:val="5EC0678C"/>
    <w:rsid w:val="5F4A4909"/>
    <w:rsid w:val="5F631FA8"/>
    <w:rsid w:val="5F7716A9"/>
    <w:rsid w:val="5FC32CE5"/>
    <w:rsid w:val="601E63BB"/>
    <w:rsid w:val="60216BFC"/>
    <w:rsid w:val="604043A1"/>
    <w:rsid w:val="6064582C"/>
    <w:rsid w:val="60746EA7"/>
    <w:rsid w:val="60747037"/>
    <w:rsid w:val="60BA46B9"/>
    <w:rsid w:val="61171BF3"/>
    <w:rsid w:val="61202E29"/>
    <w:rsid w:val="61214B20"/>
    <w:rsid w:val="619573BA"/>
    <w:rsid w:val="61993C9D"/>
    <w:rsid w:val="622D1615"/>
    <w:rsid w:val="62A3276A"/>
    <w:rsid w:val="62DA5212"/>
    <w:rsid w:val="62F707AA"/>
    <w:rsid w:val="6311326D"/>
    <w:rsid w:val="631A0F75"/>
    <w:rsid w:val="637631BA"/>
    <w:rsid w:val="638B3B59"/>
    <w:rsid w:val="63BC2891"/>
    <w:rsid w:val="63D83B68"/>
    <w:rsid w:val="63DE260D"/>
    <w:rsid w:val="63EB4FA7"/>
    <w:rsid w:val="640C5FD2"/>
    <w:rsid w:val="64286AE0"/>
    <w:rsid w:val="64487E13"/>
    <w:rsid w:val="64BE7110"/>
    <w:rsid w:val="64C62543"/>
    <w:rsid w:val="64F44749"/>
    <w:rsid w:val="6528007E"/>
    <w:rsid w:val="652F3A1E"/>
    <w:rsid w:val="65507243"/>
    <w:rsid w:val="65576B9C"/>
    <w:rsid w:val="656027FF"/>
    <w:rsid w:val="659303B0"/>
    <w:rsid w:val="659B5CD0"/>
    <w:rsid w:val="65AC6E0E"/>
    <w:rsid w:val="66457E51"/>
    <w:rsid w:val="664B6EE1"/>
    <w:rsid w:val="6680376E"/>
    <w:rsid w:val="66835A87"/>
    <w:rsid w:val="66C55742"/>
    <w:rsid w:val="66E1725B"/>
    <w:rsid w:val="66ED31EA"/>
    <w:rsid w:val="66FA6BC5"/>
    <w:rsid w:val="67054225"/>
    <w:rsid w:val="671D6D46"/>
    <w:rsid w:val="67255D7E"/>
    <w:rsid w:val="67264828"/>
    <w:rsid w:val="67757810"/>
    <w:rsid w:val="67925826"/>
    <w:rsid w:val="67926798"/>
    <w:rsid w:val="6794515D"/>
    <w:rsid w:val="679A260F"/>
    <w:rsid w:val="67A14543"/>
    <w:rsid w:val="67B564F1"/>
    <w:rsid w:val="67C97E00"/>
    <w:rsid w:val="67F244BE"/>
    <w:rsid w:val="67FD3C1D"/>
    <w:rsid w:val="681E79D5"/>
    <w:rsid w:val="683B08D2"/>
    <w:rsid w:val="68A007EA"/>
    <w:rsid w:val="68EC3E79"/>
    <w:rsid w:val="691A3243"/>
    <w:rsid w:val="696C42BB"/>
    <w:rsid w:val="696D4472"/>
    <w:rsid w:val="698A6B0F"/>
    <w:rsid w:val="69F125D7"/>
    <w:rsid w:val="6A081E29"/>
    <w:rsid w:val="6A5544F2"/>
    <w:rsid w:val="6A774D43"/>
    <w:rsid w:val="6A782EAA"/>
    <w:rsid w:val="6B704279"/>
    <w:rsid w:val="6BF6773C"/>
    <w:rsid w:val="6C107C06"/>
    <w:rsid w:val="6C950849"/>
    <w:rsid w:val="6CA25EFF"/>
    <w:rsid w:val="6CCB7C26"/>
    <w:rsid w:val="6CE74A79"/>
    <w:rsid w:val="6CF26EBD"/>
    <w:rsid w:val="6CF676C9"/>
    <w:rsid w:val="6D020EA1"/>
    <w:rsid w:val="6D2354D0"/>
    <w:rsid w:val="6D713CB4"/>
    <w:rsid w:val="6DC64251"/>
    <w:rsid w:val="6DC66137"/>
    <w:rsid w:val="6E0F1211"/>
    <w:rsid w:val="6E14599E"/>
    <w:rsid w:val="6E366227"/>
    <w:rsid w:val="6E4A41DB"/>
    <w:rsid w:val="6E805EC6"/>
    <w:rsid w:val="6EA61A1E"/>
    <w:rsid w:val="6F217770"/>
    <w:rsid w:val="6F3C23D3"/>
    <w:rsid w:val="6F5C1702"/>
    <w:rsid w:val="6F6F6B1E"/>
    <w:rsid w:val="6F9B25C1"/>
    <w:rsid w:val="6FAD3F92"/>
    <w:rsid w:val="6FBD0858"/>
    <w:rsid w:val="6FC51A69"/>
    <w:rsid w:val="6FCD7813"/>
    <w:rsid w:val="6FEC2BEB"/>
    <w:rsid w:val="701D2501"/>
    <w:rsid w:val="702A45E9"/>
    <w:rsid w:val="703D6838"/>
    <w:rsid w:val="70554EF2"/>
    <w:rsid w:val="70832FE8"/>
    <w:rsid w:val="708B07F2"/>
    <w:rsid w:val="708D502C"/>
    <w:rsid w:val="70B843DE"/>
    <w:rsid w:val="70BC3E24"/>
    <w:rsid w:val="70BF0634"/>
    <w:rsid w:val="70EC71F4"/>
    <w:rsid w:val="715D1223"/>
    <w:rsid w:val="715E3D72"/>
    <w:rsid w:val="718503F1"/>
    <w:rsid w:val="721022F4"/>
    <w:rsid w:val="722F0050"/>
    <w:rsid w:val="72304D4A"/>
    <w:rsid w:val="723C5580"/>
    <w:rsid w:val="7266626A"/>
    <w:rsid w:val="728410B5"/>
    <w:rsid w:val="72CE3B02"/>
    <w:rsid w:val="72E1752D"/>
    <w:rsid w:val="73306C22"/>
    <w:rsid w:val="73515D72"/>
    <w:rsid w:val="73A015C2"/>
    <w:rsid w:val="73A913CF"/>
    <w:rsid w:val="73C135A6"/>
    <w:rsid w:val="73D7778B"/>
    <w:rsid w:val="73E1338A"/>
    <w:rsid w:val="73EB1497"/>
    <w:rsid w:val="73FE13AD"/>
    <w:rsid w:val="74000A47"/>
    <w:rsid w:val="7426367E"/>
    <w:rsid w:val="742B0F6A"/>
    <w:rsid w:val="745E4171"/>
    <w:rsid w:val="74710A26"/>
    <w:rsid w:val="74885606"/>
    <w:rsid w:val="74C13834"/>
    <w:rsid w:val="74DB6356"/>
    <w:rsid w:val="74EE0DD1"/>
    <w:rsid w:val="751115BE"/>
    <w:rsid w:val="751E4D3F"/>
    <w:rsid w:val="754C5922"/>
    <w:rsid w:val="75740E00"/>
    <w:rsid w:val="758704E1"/>
    <w:rsid w:val="75915199"/>
    <w:rsid w:val="760A5675"/>
    <w:rsid w:val="76290495"/>
    <w:rsid w:val="763A080C"/>
    <w:rsid w:val="76B76C00"/>
    <w:rsid w:val="76E04D2E"/>
    <w:rsid w:val="76E36096"/>
    <w:rsid w:val="76EB5B39"/>
    <w:rsid w:val="770F19AB"/>
    <w:rsid w:val="772E2505"/>
    <w:rsid w:val="776D4E00"/>
    <w:rsid w:val="776F4F23"/>
    <w:rsid w:val="778C04D2"/>
    <w:rsid w:val="77AB56B0"/>
    <w:rsid w:val="77BD40B0"/>
    <w:rsid w:val="77D049F7"/>
    <w:rsid w:val="780B0378"/>
    <w:rsid w:val="78156E78"/>
    <w:rsid w:val="782D5EAF"/>
    <w:rsid w:val="78402D83"/>
    <w:rsid w:val="786302A1"/>
    <w:rsid w:val="786B4B33"/>
    <w:rsid w:val="789F1175"/>
    <w:rsid w:val="78A15763"/>
    <w:rsid w:val="78B837B1"/>
    <w:rsid w:val="78B8572B"/>
    <w:rsid w:val="78BD00A1"/>
    <w:rsid w:val="78D07545"/>
    <w:rsid w:val="78DC5000"/>
    <w:rsid w:val="7900231D"/>
    <w:rsid w:val="7931734A"/>
    <w:rsid w:val="79393642"/>
    <w:rsid w:val="794C7BF3"/>
    <w:rsid w:val="79547B36"/>
    <w:rsid w:val="799A3EC5"/>
    <w:rsid w:val="79E77CA4"/>
    <w:rsid w:val="79EA17F6"/>
    <w:rsid w:val="7A090A5F"/>
    <w:rsid w:val="7A3A6320"/>
    <w:rsid w:val="7A787D65"/>
    <w:rsid w:val="7A7A28DD"/>
    <w:rsid w:val="7AC35818"/>
    <w:rsid w:val="7ACA792A"/>
    <w:rsid w:val="7ADB38D4"/>
    <w:rsid w:val="7B062E5E"/>
    <w:rsid w:val="7B0F1912"/>
    <w:rsid w:val="7B2B6A67"/>
    <w:rsid w:val="7B6B2A12"/>
    <w:rsid w:val="7B7E5287"/>
    <w:rsid w:val="7BE1442B"/>
    <w:rsid w:val="7C630ABA"/>
    <w:rsid w:val="7C6427BD"/>
    <w:rsid w:val="7CAE4A87"/>
    <w:rsid w:val="7CCA0991"/>
    <w:rsid w:val="7CD9053C"/>
    <w:rsid w:val="7D1B39C3"/>
    <w:rsid w:val="7D2A70DF"/>
    <w:rsid w:val="7D54265B"/>
    <w:rsid w:val="7D9B693F"/>
    <w:rsid w:val="7DC870FB"/>
    <w:rsid w:val="7DD2691C"/>
    <w:rsid w:val="7DEA13AB"/>
    <w:rsid w:val="7DFB4DE9"/>
    <w:rsid w:val="7E3563A1"/>
    <w:rsid w:val="7E9326F9"/>
    <w:rsid w:val="7EAD141A"/>
    <w:rsid w:val="7EE20452"/>
    <w:rsid w:val="7F341285"/>
    <w:rsid w:val="7F395D9C"/>
    <w:rsid w:val="7F6A4AF7"/>
    <w:rsid w:val="7F8B03C8"/>
    <w:rsid w:val="7FA56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CFFD78-0974-4AFA-91FC-5300E74D8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7AF2"/>
    <w:pPr>
      <w:widowControl w:val="0"/>
      <w:spacing w:beforeLines="50" w:before="50"/>
      <w:jc w:val="both"/>
    </w:pPr>
    <w:rPr>
      <w:rFonts w:ascii="Times New Roman" w:eastAsia="Times New Roman" w:hAnsi="Times New Roman"/>
      <w:kern w:val="2"/>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397AF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97AF2"/>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uiPriority w:val="99"/>
    <w:qFormat/>
  </w:style>
  <w:style w:type="paragraph" w:styleId="33">
    <w:name w:val="Body Text 3"/>
    <w:basedOn w:val="a0"/>
    <w:qFormat/>
    <w:rPr>
      <w:i/>
    </w:rPr>
  </w:style>
  <w:style w:type="paragraph" w:styleId="aa">
    <w:name w:val="Body Text"/>
    <w:basedOn w:val="a0"/>
    <w:link w:val="Char1"/>
    <w:qFormat/>
    <w:pPr>
      <w:spacing w:after="120"/>
    </w:pPr>
    <w:rPr>
      <w:sz w:val="22"/>
    </w:rPr>
  </w:style>
  <w:style w:type="paragraph" w:styleId="ab">
    <w:name w:val="Body Text Indent"/>
    <w:basedOn w:val="a0"/>
    <w:link w:val="Char2"/>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link w:val="Char3"/>
    <w:uiPriority w:val="99"/>
    <w:unhideWhenUsed/>
    <w:qFormat/>
    <w:rPr>
      <w:sz w:val="18"/>
      <w:szCs w:val="18"/>
    </w:rPr>
  </w:style>
  <w:style w:type="paragraph" w:styleId="ad">
    <w:name w:val="footer"/>
    <w:basedOn w:val="a0"/>
    <w:link w:val="Char4"/>
    <w:qFormat/>
    <w:pPr>
      <w:tabs>
        <w:tab w:val="center" w:pos="4153"/>
        <w:tab w:val="right" w:pos="8306"/>
      </w:tabs>
      <w:snapToGrid w:val="0"/>
      <w:jc w:val="left"/>
    </w:pPr>
    <w:rPr>
      <w:sz w:val="18"/>
      <w:szCs w:val="18"/>
    </w:rPr>
  </w:style>
  <w:style w:type="paragraph" w:styleId="ae">
    <w:name w:val="header"/>
    <w:basedOn w:val="a0"/>
    <w:pPr>
      <w:pBdr>
        <w:bottom w:val="single" w:sz="6" w:space="1" w:color="auto"/>
      </w:pBdr>
      <w:tabs>
        <w:tab w:val="center" w:pos="4153"/>
        <w:tab w:val="right" w:pos="8306"/>
      </w:tabs>
      <w:snapToGrid w:val="0"/>
      <w:jc w:val="center"/>
    </w:pPr>
    <w:rPr>
      <w:sz w:val="18"/>
      <w:szCs w:val="18"/>
    </w:rPr>
  </w:style>
  <w:style w:type="paragraph" w:styleId="af">
    <w:name w:val="Subtitle"/>
    <w:basedOn w:val="a0"/>
    <w:next w:val="a0"/>
    <w:link w:val="Char5"/>
    <w:qFormat/>
    <w:pPr>
      <w:spacing w:after="60"/>
      <w:jc w:val="center"/>
      <w:outlineLvl w:val="1"/>
    </w:pPr>
    <w:rPr>
      <w:rFonts w:ascii="Cambria" w:hAnsi="Cambria"/>
      <w:sz w:val="24"/>
    </w:rPr>
  </w:style>
  <w:style w:type="paragraph" w:styleId="af0">
    <w:name w:val="footnote text"/>
    <w:basedOn w:val="a0"/>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pPr>
    <w:rPr>
      <w:rFonts w:ascii="Arial" w:hAnsi="Arial"/>
      <w:sz w:val="22"/>
    </w:rPr>
  </w:style>
  <w:style w:type="paragraph" w:styleId="af2">
    <w:name w:val="Normal (Web)"/>
    <w:basedOn w:val="a0"/>
    <w:uiPriority w:val="99"/>
    <w:unhideWhenUsed/>
    <w:qFormat/>
    <w:pPr>
      <w:spacing w:before="100" w:beforeAutospacing="1" w:after="100" w:afterAutospacing="1"/>
    </w:pPr>
    <w:rPr>
      <w:sz w:val="24"/>
    </w:r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basedOn w:val="a1"/>
    <w:uiPriority w:val="99"/>
    <w:qFormat/>
    <w:rPr>
      <w:color w:val="0000FF"/>
      <w:u w:val="single"/>
    </w:rPr>
  </w:style>
  <w:style w:type="character" w:styleId="afa">
    <w:name w:val="annotation reference"/>
    <w:uiPriority w:val="99"/>
    <w:qFormat/>
    <w:rPr>
      <w:sz w:val="16"/>
      <w:szCs w:val="16"/>
    </w:rPr>
  </w:style>
  <w:style w:type="character" w:styleId="afb">
    <w:name w:val="footnote reference"/>
    <w:semiHidden/>
    <w:qFormat/>
    <w:rPr>
      <w:b/>
      <w:position w:val="6"/>
      <w:sz w:val="16"/>
    </w:rPr>
  </w:style>
  <w:style w:type="character" w:customStyle="1" w:styleId="Char3">
    <w:name w:val="批注框文本 Char"/>
    <w:basedOn w:val="a1"/>
    <w:link w:val="ac"/>
    <w:uiPriority w:val="99"/>
    <w:qFormat/>
    <w:rPr>
      <w:rFonts w:ascii="Times New Roman" w:eastAsia="宋体" w:hAnsi="Times New Roman" w:cs="Times New Roman"/>
      <w:kern w:val="2"/>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rPr>
  </w:style>
  <w:style w:type="paragraph" w:customStyle="1" w:styleId="Equation">
    <w:name w:val="Equation"/>
    <w:basedOn w:val="a0"/>
    <w:next w:val="a0"/>
    <w:qFormat/>
    <w:pPr>
      <w:tabs>
        <w:tab w:val="right" w:pos="10206"/>
      </w:tabs>
      <w:spacing w:after="220"/>
      <w:ind w:left="1298"/>
    </w:pPr>
    <w:rPr>
      <w:rFonts w:ascii="Arial" w:hAnsi="Arial"/>
      <w:sz w:val="22"/>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宋体" w:hAnsi="Arial" w:cs="Times New Roman"/>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6"/>
    <w:uiPriority w:val="34"/>
    <w:qFormat/>
    <w:pPr>
      <w:numPr>
        <w:numId w:val="3"/>
      </w:numPr>
      <w:spacing w:after="120"/>
    </w:pPr>
    <w:rPr>
      <w:rFonts w:eastAsia="Calibri"/>
      <w:lang w:val="en-GB"/>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5">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snapToGrid w:val="0"/>
      <w:spacing w:afterLines="50" w:line="264" w:lineRule="auto"/>
    </w:pPr>
    <w:rPr>
      <w:rFonts w:eastAsia="Batang"/>
      <w:sz w:val="22"/>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6">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snapToGrid w:val="0"/>
      <w:spacing w:after="60"/>
    </w:pPr>
    <w:rPr>
      <w:szCs w:val="16"/>
    </w:rPr>
  </w:style>
  <w:style w:type="character" w:customStyle="1" w:styleId="Char4">
    <w:name w:val="页脚 Char"/>
    <w:basedOn w:val="a1"/>
    <w:link w:val="ad"/>
    <w:qFormat/>
    <w:rPr>
      <w:rFonts w:ascii="Times New Roman" w:eastAsia="宋体" w:hAnsi="Times New Roman" w:cs="Times New Roman"/>
      <w:kern w:val="2"/>
      <w:sz w:val="18"/>
      <w:szCs w:val="18"/>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rFonts w:ascii="Times New Roman" w:eastAsia="宋体" w:hAnsi="Times New Roman" w:cs="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rFonts w:ascii="Times New Roman" w:eastAsia="宋体" w:hAnsi="Times New Roman" w:cs="Times New Roman"/>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ListParagraph1">
    <w:name w:val="List Paragraph1"/>
    <w:basedOn w:val="a0"/>
    <w:uiPriority w:val="99"/>
    <w:qFormat/>
    <w:pPr>
      <w:spacing w:after="120"/>
      <w:ind w:left="720" w:hanging="360"/>
    </w:pPr>
    <w:rPr>
      <w:rFonts w:eastAsia="Calibri"/>
      <w:lang w:val="en-GB"/>
    </w:rPr>
  </w:style>
  <w:style w:type="paragraph" w:customStyle="1" w:styleId="35">
    <w:name w:val="正文3"/>
    <w:qFormat/>
    <w:pPr>
      <w:widowControl w:val="0"/>
      <w:jc w:val="both"/>
    </w:pPr>
    <w:rPr>
      <w:rFonts w:ascii="Times New Roman" w:eastAsia="宋体" w:hAnsi="Times New Roman" w:cs="Times New Roman"/>
      <w:kern w:val="2"/>
      <w:sz w:val="21"/>
      <w:szCs w:val="21"/>
    </w:rPr>
  </w:style>
  <w:style w:type="character" w:customStyle="1" w:styleId="TAHCar">
    <w:name w:val="TAH Car"/>
    <w:link w:val="TAH"/>
    <w:qFormat/>
    <w:rPr>
      <w:rFonts w:ascii="Arial" w:eastAsia="宋体" w:hAnsi="Arial" w:cs="Times New Roman"/>
      <w:b/>
      <w:sz w:val="18"/>
      <w:lang w:eastAsia="en-US"/>
    </w:rPr>
  </w:style>
  <w:style w:type="character" w:customStyle="1" w:styleId="Char2">
    <w:name w:val="正文文本缩进 Char"/>
    <w:basedOn w:val="a1"/>
    <w:link w:val="ab"/>
    <w:qFormat/>
    <w:rPr>
      <w:rFonts w:ascii="Times New Roman" w:eastAsia="楷体_GB2312" w:hAnsi="Times New Roman" w:cs="Times New Roman"/>
      <w:sz w:val="24"/>
      <w:lang w:eastAsia="en-US"/>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81E52-E1EE-409E-BB98-0E0292A7B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2765</Words>
  <Characters>15767</Characters>
  <Application>Microsoft Office Word</Application>
  <DocSecurity>0</DocSecurity>
  <Lines>131</Lines>
  <Paragraphs>36</Paragraphs>
  <ScaleCrop>false</ScaleCrop>
  <Company>ZTE Corporation</Company>
  <LinksUpToDate>false</LinksUpToDate>
  <CharactersWithSpaces>18496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cp:revision>
  <cp:lastPrinted>2018-04-07T03:05:00Z</cp:lastPrinted>
  <dcterms:created xsi:type="dcterms:W3CDTF">2022-09-30T07:35:00Z</dcterms:created>
  <dcterms:modified xsi:type="dcterms:W3CDTF">2022-09-30T10:56:00Z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05083ABE633040748A48A5C2FBB2FD59</vt:lpwstr>
  </property>
</Properties>
</file>